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CF" w:rsidRDefault="00EF49E8" w:rsidP="00EB09CF">
      <w:pPr>
        <w:jc w:val="both"/>
        <w:outlineLvl w:val="0"/>
        <w:rPr>
          <w:b/>
          <w:sz w:val="22"/>
          <w:lang w:val="ru-RU"/>
        </w:rPr>
      </w:pPr>
      <w:r>
        <w:rPr>
          <w:rStyle w:val="CommentReference"/>
          <w:rFonts w:eastAsia="Times New Roman"/>
          <w:szCs w:val="20"/>
          <w:lang w:eastAsia="en-US"/>
        </w:rPr>
        <w:commentReference w:id="0"/>
      </w:r>
      <w:bookmarkStart w:id="1" w:name="_GoBack"/>
      <w:bookmarkEnd w:id="1"/>
    </w:p>
    <w:p w:rsidR="00EF49E8" w:rsidRPr="00EF49E8" w:rsidRDefault="00EF49E8" w:rsidP="00EF49E8">
      <w:pPr>
        <w:spacing w:line="20" w:lineRule="exact"/>
        <w:jc w:val="both"/>
        <w:outlineLvl w:val="0"/>
        <w:rPr>
          <w:b/>
          <w:sz w:val="2"/>
          <w:lang w:val="ru-RU"/>
        </w:rPr>
        <w:sectPr w:rsidR="00EF49E8" w:rsidRPr="00EF49E8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584" w:right="1195" w:bottom="1440" w:left="1195" w:header="576" w:footer="1008" w:gutter="0"/>
          <w:cols w:space="720"/>
          <w:titlePg/>
        </w:sectPr>
      </w:pPr>
    </w:p>
    <w:p w:rsidR="00EB09CF" w:rsidRPr="00104589" w:rsidRDefault="00EB09CF" w:rsidP="00EB09CF">
      <w:pPr>
        <w:pStyle w:val="Heading1"/>
        <w:spacing w:after="240"/>
        <w:jc w:val="center"/>
        <w:rPr>
          <w:sz w:val="28"/>
          <w:lang w:val="ru-RU"/>
        </w:rPr>
      </w:pPr>
      <w:r w:rsidRPr="00104589">
        <w:rPr>
          <w:sz w:val="28"/>
          <w:lang w:val="ru-RU"/>
        </w:rPr>
        <w:lastRenderedPageBreak/>
        <w:t>Резолюция, принятая Генеральной Ассамблеей</w:t>
      </w:r>
      <w:r w:rsidR="009859DA" w:rsidRPr="00104589">
        <w:rPr>
          <w:sz w:val="28"/>
          <w:lang w:val="ru-RU"/>
        </w:rPr>
        <w:br/>
      </w:r>
      <w:r w:rsidR="00B275D6" w:rsidRPr="00104589">
        <w:rPr>
          <w:sz w:val="28"/>
          <w:lang w:val="ru-RU"/>
        </w:rPr>
        <w:t>2</w:t>
      </w:r>
      <w:r w:rsidR="00B54DCE" w:rsidRPr="00104589">
        <w:rPr>
          <w:sz w:val="28"/>
          <w:lang w:val="ru-RU"/>
        </w:rPr>
        <w:t>1</w:t>
      </w:r>
      <w:r w:rsidR="00104589">
        <w:rPr>
          <w:sz w:val="28"/>
          <w:lang w:val="ru-RU"/>
        </w:rPr>
        <w:t> декабря</w:t>
      </w:r>
      <w:r w:rsidR="00B54DCE" w:rsidRPr="00104589">
        <w:rPr>
          <w:sz w:val="28"/>
          <w:lang w:val="ru-RU"/>
        </w:rPr>
        <w:t xml:space="preserve"> </w:t>
      </w:r>
      <w:r w:rsidR="007F5747" w:rsidRPr="00104589">
        <w:rPr>
          <w:sz w:val="28"/>
          <w:lang w:val="ru-RU"/>
        </w:rPr>
        <w:t>201</w:t>
      </w:r>
      <w:r w:rsidR="0029318F" w:rsidRPr="00104589">
        <w:rPr>
          <w:sz w:val="28"/>
          <w:lang w:val="ru-RU"/>
        </w:rPr>
        <w:t>6</w:t>
      </w:r>
      <w:r w:rsidR="00104589">
        <w:rPr>
          <w:sz w:val="28"/>
          <w:lang w:val="ru-RU"/>
        </w:rPr>
        <w:t> года</w:t>
      </w:r>
    </w:p>
    <w:p w:rsidR="00EB09CF" w:rsidRPr="00104589" w:rsidRDefault="00EB09CF" w:rsidP="005B7632">
      <w:pPr>
        <w:spacing w:after="360"/>
        <w:jc w:val="center"/>
        <w:outlineLvl w:val="0"/>
        <w:rPr>
          <w:iCs/>
          <w:sz w:val="20"/>
          <w:szCs w:val="20"/>
          <w:lang w:val="ru-RU"/>
        </w:rPr>
      </w:pPr>
      <w:r w:rsidRPr="00104589">
        <w:rPr>
          <w:iCs/>
          <w:sz w:val="20"/>
          <w:szCs w:val="20"/>
          <w:lang w:val="ru-RU"/>
        </w:rPr>
        <w:t>[</w:t>
      </w:r>
      <w:r w:rsidR="00280217" w:rsidRPr="00104589">
        <w:rPr>
          <w:i/>
          <w:iCs/>
          <w:sz w:val="20"/>
          <w:szCs w:val="20"/>
          <w:lang w:val="ru-RU"/>
        </w:rPr>
        <w:t>по докладу Второго комитета</w:t>
      </w:r>
      <w:r w:rsidR="009E30D5" w:rsidRPr="00104589">
        <w:rPr>
          <w:i/>
          <w:iCs/>
          <w:sz w:val="20"/>
          <w:szCs w:val="20"/>
          <w:lang w:val="ru-RU"/>
        </w:rPr>
        <w:t xml:space="preserve"> </w:t>
      </w:r>
      <w:r w:rsidR="007B699F" w:rsidRPr="00104589">
        <w:rPr>
          <w:i/>
          <w:iCs/>
          <w:sz w:val="20"/>
          <w:szCs w:val="20"/>
          <w:lang w:val="ru-RU"/>
        </w:rPr>
        <w:t>(</w:t>
      </w:r>
      <w:hyperlink r:id="rId13" w:history="1">
        <w:r w:rsidR="007B699F" w:rsidRPr="00EF49E8">
          <w:rPr>
            <w:rStyle w:val="Hyperlink"/>
            <w:i/>
            <w:iCs/>
            <w:sz w:val="20"/>
            <w:szCs w:val="20"/>
            <w:lang w:val="ru-RU"/>
          </w:rPr>
          <w:t>A/</w:t>
        </w:r>
        <w:r w:rsidR="00280217" w:rsidRPr="00EF49E8">
          <w:rPr>
            <w:rStyle w:val="Hyperlink"/>
            <w:i/>
            <w:iCs/>
            <w:sz w:val="20"/>
            <w:szCs w:val="20"/>
            <w:lang w:val="ru-RU"/>
          </w:rPr>
          <w:t>71/467/Add.2</w:t>
        </w:r>
      </w:hyperlink>
      <w:r w:rsidRPr="00104589">
        <w:rPr>
          <w:i/>
          <w:iCs/>
          <w:sz w:val="20"/>
          <w:szCs w:val="20"/>
          <w:lang w:val="ru-RU"/>
        </w:rPr>
        <w:t>)</w:t>
      </w:r>
      <w:r w:rsidRPr="00104589">
        <w:rPr>
          <w:iCs/>
          <w:sz w:val="20"/>
          <w:szCs w:val="20"/>
          <w:lang w:val="ru-RU"/>
        </w:rPr>
        <w:t>]</w:t>
      </w:r>
    </w:p>
    <w:p w:rsidR="00C43F98" w:rsidRPr="00104589" w:rsidRDefault="00EF49E8" w:rsidP="00C43F9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7" w:right="1267" w:hanging="950"/>
        <w:rPr>
          <w:rFonts w:eastAsia="Times New Roman"/>
          <w:szCs w:val="20"/>
        </w:rPr>
      </w:pPr>
      <w:hyperlink r:id="rId14" w:history="1">
        <w:r w:rsidR="00C43F98" w:rsidRPr="00EF49E8">
          <w:rPr>
            <w:rStyle w:val="Hyperlink"/>
            <w:rFonts w:eastAsia="Times New Roman"/>
            <w:szCs w:val="20"/>
          </w:rPr>
          <w:t>71/242</w:t>
        </w:r>
      </w:hyperlink>
      <w:r w:rsidR="00C43F98" w:rsidRPr="00104589">
        <w:rPr>
          <w:rFonts w:eastAsia="Times New Roman"/>
          <w:szCs w:val="20"/>
        </w:rPr>
        <w:t>.</w:t>
      </w:r>
      <w:r w:rsidR="00C43F98" w:rsidRPr="00104589">
        <w:rPr>
          <w:rFonts w:eastAsia="Times New Roman"/>
          <w:szCs w:val="20"/>
        </w:rPr>
        <w:tab/>
        <w:t>Сотрудничество в области промышленного развития</w:t>
      </w:r>
    </w:p>
    <w:p w:rsidR="00C43F98" w:rsidRPr="00104589" w:rsidRDefault="00C43F98" w:rsidP="00C43F9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HAnsi"/>
          <w:spacing w:val="4"/>
          <w:w w:val="103"/>
          <w:kern w:val="14"/>
          <w:sz w:val="10"/>
          <w:szCs w:val="22"/>
          <w:lang w:val="ru-RU" w:eastAsia="en-US"/>
        </w:rPr>
      </w:pPr>
    </w:p>
    <w:p w:rsidR="00C43F98" w:rsidRPr="00104589" w:rsidRDefault="00C43F98" w:rsidP="00C43F9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HAnsi"/>
          <w:spacing w:val="4"/>
          <w:w w:val="103"/>
          <w:kern w:val="14"/>
          <w:sz w:val="10"/>
          <w:szCs w:val="22"/>
          <w:lang w:val="ru-RU" w:eastAsia="en-US"/>
        </w:rPr>
      </w:pP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Генеральная Ассамблея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ссылаясь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на свои резолюции </w:t>
      </w:r>
      <w:hyperlink r:id="rId15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49/108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19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1994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</w:t>
      </w:r>
      <w:hyperlink r:id="rId16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51/170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16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1996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</w:t>
      </w:r>
      <w:hyperlink r:id="rId17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53/177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15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1998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</w:t>
      </w:r>
      <w:hyperlink r:id="rId18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55/187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20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2000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</w:t>
      </w:r>
      <w:hyperlink r:id="rId19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57/243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20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2002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</w:t>
      </w:r>
      <w:hyperlink r:id="rId20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59/249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22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2004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</w:t>
      </w:r>
      <w:hyperlink r:id="rId21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61/215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20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2006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</w:t>
      </w:r>
      <w:hyperlink r:id="rId22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63/231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19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2008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</w:t>
      </w:r>
      <w:hyperlink r:id="rId23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65/175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20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</w:t>
      </w:r>
      <w:hyperlink r:id="rId24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67/225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21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2012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и </w:t>
      </w:r>
      <w:hyperlink r:id="rId25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69/235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19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2014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ссылаясь также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на решения всех крупных конференций и встреч на высшем уровне Организации Объединенных Наций в экономической, социальной, экологической и смежных областях,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подтверждая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свою резолюцию </w:t>
      </w:r>
      <w:hyperlink r:id="rId26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70/1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«Преобразование нашего мира: Повестка дня в области устойчивого развития 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» от 25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сентября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2015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в которой она утвердила всеобъемлющий, рассчитанный на перспективу и предусматривающий учет интересов людей набор универсальных и ориентированных на преобразования целей и задач в области устойчивого развития, свое обязательство прилагать неустанные усилия для полного осуществления Повестки дня к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году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признание ею того, что ликвидация нищеты во всех ее формах и проявлениях, включая крайнюю нищету, является важнейшей глобальной задачей и одним из необходимых условий устойчивого развития, и свою приверженность сбалансированному и комплексному обеспечению устойчивого развития во всех его трех — экономическом, социальном и экологическом — компонентах, а также закреплению результатов, достигнутых в реализации целей в области развития, сформулированных в Декларации тысячелетия, и завершению всего, что не удалось сделать за время, отведенное для их достижения,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подтверждая также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свою резолюцию </w:t>
      </w:r>
      <w:hyperlink r:id="rId27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69/313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27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июля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2015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касающуюся Аддис-Абебской программы действий третьей Международной конференции по финансированию развития, которая является неотъемлемой частью Повестки дня в области устойчивого развития 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подкрепляет и дополняет ее, способствует переводу предусмотренных в ней задач в отношении средств осуществления в плоскость конкретных стратегий и мер и в которой вновь подтверждается твердая политическая приверженность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lastRenderedPageBreak/>
        <w:t>решению задачи финансирования устойчивого развития и создания благоприятных условий для него на всех уровнях в духе глобального партнерства и солидарности,</w:t>
      </w:r>
    </w:p>
    <w:p w:rsidR="00104589" w:rsidRPr="00104589" w:rsidRDefault="00104589" w:rsidP="00104589">
      <w:pPr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 удовлетворением отмечая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Парижское соглашение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1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и его раннее вступление в силу, обращаясь ко всем его сторонам с призывом выполнять все положения этого соглашения и </w:t>
      </w:r>
      <w:r w:rsidRPr="00104589">
        <w:rPr>
          <w:rFonts w:eastAsiaTheme="minorHAnsi"/>
          <w:spacing w:val="4"/>
          <w:w w:val="103"/>
          <w:kern w:val="14"/>
          <w:sz w:val="20"/>
          <w:szCs w:val="20"/>
          <w:lang w:val="ru-RU" w:eastAsia="en-US"/>
        </w:rPr>
        <w:t>обращаясь к тем сторонам Рамочной конвенции Организации Объединенных Наций об изменении климата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2"/>
      </w:r>
      <w:r w:rsidRPr="00104589">
        <w:rPr>
          <w:rFonts w:eastAsiaTheme="minorHAnsi"/>
          <w:spacing w:val="4"/>
          <w:w w:val="103"/>
          <w:kern w:val="14"/>
          <w:sz w:val="20"/>
          <w:szCs w:val="20"/>
          <w:lang w:val="ru-RU" w:eastAsia="en-US"/>
        </w:rPr>
        <w:t>, которые еще не сделали этого, с призывом как можно скорее сдать на хранение соответственно документы о ратификации, принятии, одобрении или присоединении,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принимая к сведению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итоговые документы четырнадцатой сессии Конференции Организации Объединенных Наций по торговле и развитию, состоявшейся 17–22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июля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2016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 Найроби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3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 xml:space="preserve">ссылаясь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на свою резолюцию </w:t>
      </w:r>
      <w:hyperlink r:id="rId28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70/293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 25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июля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2016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 третьем Десятилетии промышленного развития Африки (2016–2025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ы), в которой подчеркивается необходимость принятия африканскими странами срочных мер для содействия всеохватной и устойчивой индустриализации в Африке в интересах создания </w:t>
      </w:r>
      <w:r w:rsidR="00333224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устойчивой к потрясениям</w:t>
      </w:r>
      <w:r w:rsidR="00333224"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инфраструктуры, содействия всеохватной и устойчивой индустриализации и инновациям и достижения других соответствующих целей</w:t>
      </w:r>
      <w:r w:rsidR="00333224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 области устойчивого развития, сформулированных в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</w:t>
      </w:r>
      <w:r w:rsidR="00333224"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Повестк</w:t>
      </w:r>
      <w:r w:rsidR="00333224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е</w:t>
      </w:r>
      <w:r w:rsidR="00333224"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дня в области устойчивого развития 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 xml:space="preserve">напоминая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о пятнадцатой сессии Генеральной конференции Организации Объединенных Наций по промышленному развитию, проведенной 2–6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2013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 Лиме, и ссылаясь на Лимскую декларацию «Путь к достижению всеохватного и устойчивого промышленного развития</w:t>
      </w:r>
      <w:bookmarkStart w:id="2" w:name="_Ref407359225"/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»</w:t>
      </w:r>
      <w:bookmarkStart w:id="3" w:name="_Ref472599858"/>
      <w:bookmarkEnd w:id="2"/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4"/>
      </w:r>
      <w:bookmarkEnd w:id="3"/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в которой Генеральная конференция, в частности, вновь подтвердила уникальность мандата этой организации и заложила основы для ее предстоящей работы по оказанию государствам-членам поддержки в обеспечении всеохватного и устойчивого промышленного развития,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напоминая также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 том, что в Аддис-Абебской программе действий третьей Международной конференции по финансированию развития признается, в частности, исключительно важное значение промышленного развития для развивающихся стран в качестве одного из важнейших факторов экономического роста, диверсификации экономики и создания добавленной стоимости,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отмечая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прилагаемые усилия по осуществлению Программы действий для наименее развитых стран на десятилетие 2011–2020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ов, которая была принята в мае 2011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на четвертой Конференции Организации Объединенных Наций по наименее развитым странам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5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Программы действий по ускоренному развитию малых островных развивающихся государств («Путь Самоа»), которая была принята в сентябре 2014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на третьей Международной конференции по малым островным развивающимся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lastRenderedPageBreak/>
        <w:t>государствам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6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и Венской программы действий для развивающихся стран, не имеющих выхода к морю, на десятилетие 2014–2024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ов, которая была принята в ноябре 2014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на второй Конференции Организации Объединенных Наций по развивающимся странам, не имеющим выхода к морю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7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и учитывая, что страны со средним уровнем дохода продолжают сталкиваться с серьезными проблемами на пути к обеспечению устойчивого развития и что необходимо, среди прочего, улучшать координацию действий системы развития Организации Объединенных Наций и обеспечивать оказание ею более эффективной и целенаправленной поддержки,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отмечая также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, что всеохватное и устойчивое промышленное развитие может реально способствовать осуществлению Повестки дня </w:t>
      </w:r>
      <w:r w:rsidR="00333224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в области устойчивого развития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обеспечивающей сбалансированный учет всех трех компонентов устойчивого развития,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 удовлетворением отмечая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подготавливаемые Организацией Объединенных Наций по промышленному развитию доклады о промышленном развитии, в которых анализируются структурные изменения и стратегии в области промышленного развития, призванные увеличить вклад промышленности в обеспечение устойчивого развития, социальной интеграции, достойной работы, роста производительности труда и повышения энергоэффективности,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подтверждая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каждая страна имеет право и главную обязанность выбирать стратегии своего развития в соответствии с национальными приоритетами и с учетом согласованных на международном уровне целей в области развития, включая цели в области устойчивого развития, и отмечая сохраняющуюся тенденцию к выходу из состава Организации Объединенных Наций по промышленному развитию, а также важность того, чтобы государства-члены, имеющие задолженность по взносам, выполнили свои обязательства, и потенциальное влияние этой проблемы на способность Организации осуществлять ее программы, и в этой связи предлагая всем странам рассмотреть возможность согласования оказываемой ими поддержки и осуществляемых ими усилий в области развития, с тем чтобы обеспечить реализацию всех положений Повестки дня</w:t>
      </w:r>
      <w:r w:rsidR="00333224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 области устойчивого развития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важность того, чтобы Организация Объединенных Наций по промышленному развитию продолжала налаживать связи со всеми государствами — членами Организации Объединенных Наций и предлагала им вступить в число ее членов в духе обновленного глобального партнерства в интересах устойчивого развития и с целью укрепить средства осуществления цели 9 в области устойчивого развития и других соответствующих и взаимосвязанных целей и задач Повестки дня </w:t>
      </w:r>
      <w:r w:rsidR="00333224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в области устойчивого развития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особо отмечая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существенно важную роль всеохватного и устойчивого промышленного развития как компонента всеобъемлющей стратегии структурных экономических преобразований в борьбе с нищетой во всех ее формах и проявлениях, включая крайнюю нищету, и поддержке поступательного экономического роста и, таким образом, в содействии обеспечению устойчивого развития в развивающихся странах, включая наиболее уязвимые страны, в частности страны Африки, наименее развитые страны, развивающиеся страны, не имеющие выхода к морю, и малые островные развивающиеся государства, учитывая в то же время значительные проблемы, с которыми сталкиваются страны со средним уровнем дохода, и особо отмечая также, что в особом внимании нуждаются и страны, находящиеся в конфликтной ситуации,</w:t>
      </w:r>
    </w:p>
    <w:p w:rsidR="00104589" w:rsidRPr="00104589" w:rsidRDefault="00104589" w:rsidP="00104589">
      <w:pPr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пути обеспечения всеохватного и устойчивого промышленного развития многообразны и что в этой связи каждая страна несет главную ответственность за собственное развитие и вправе определять собственные модели и соответствующие им стратегии развития, что для этого требуется принятие действенных мер на всех уровнях в целях преодоления низких темпов экономического роста и хронических и новых препятствий на пути обеспечения поступательного и стабильного развития, что всеохватный характер и устойчивость имеют важнейшее значение для реализации Повестки дня в области устойчивого развития 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и что принимать такие меры необходимо не только соблюдая соответствующие международные нормы и обязательства, но и учитывая различия в возможностях, потребностях и уровнях развития разных стран и принимая во внимание национальные стратегии и приоритеты,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напоминая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 том, что цели и задачи в области устойчивого развития носят комплексный и неделимый характер и обеспечивают сбалансированность всех трех компонентов устойчивого развития, и принимая во внимание решающее значение создания устойчивой к потрясениям и качественной инфраструктуры, содействия всеохватной и устойчивой индустриализации и инновациям и выполнения взаимосвязанных задач, относящихся к другим целям в области устойчивого развития,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подчеркивая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важность международного промышленного сотрудничества для содействия обеспечению всеохватной и устойчивой индустриализации и решения важных задач и проблем, связанных, в частности, с ликвидацией нищеты, экономическим ростом и созданием достойных рабочих мест, эффективным использованием ресурсов, энергетикой, загрязнением окружающей среды и изменением климата, демографическими сдвигами, созданием сетей знаний и уменьшением растущего неравенства,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подчеркивая также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создание, развитие и распространение новаторских решений и технологий и связанного с ними ноу-хау, включая передачу технологий на взаимно согласованных условиях, являются мощными факторами, стимулирующими экономический рост и устойчивое развитие,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особо указывая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на важность использования научно-технических достижений и инноваций для создания и поддержания устойчивой к потрясениям промышленной инфраструктуры и обеспечения всеохватного и устойчивого промышленного развития,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роль деловых кругов, в том числе частного сектора, в активизации динамичного процесса развития промышленного сектора, обращая особое внимание на значимость положительной отдачи от прямых иностранных инвестиций в этом процессе и признавая также в этой связи, что наличие благоприятных внутренних условий имеет жизненно важное значение для мобилизации национальных ресурсов, повышения производительности, содействия долгосрочным и качественным инвестициям, стимулирования развития частного сектора и эффективного использования международных инвестиций и помощи и что международному сообществу следует поддерживать усилия по созданию таких условий,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0"/>
          <w:lang w:val="ru-RU" w:eastAsia="en-US"/>
        </w:rPr>
        <w:t>подчеркивая</w:t>
      </w:r>
      <w:r w:rsidRPr="00104589">
        <w:rPr>
          <w:rFonts w:eastAsiaTheme="minorHAnsi"/>
          <w:spacing w:val="4"/>
          <w:w w:val="103"/>
          <w:kern w:val="14"/>
          <w:sz w:val="20"/>
          <w:szCs w:val="20"/>
          <w:lang w:val="ru-RU" w:eastAsia="en-US"/>
        </w:rPr>
        <w:t xml:space="preserve"> важность обеспечения всеохватного характера системы развития Организации Объединенных Наций и обеспечения того, чтобы при осуществлении настоящей резолюции никто не был забыт и учитывались</w:t>
      </w:r>
      <w:r w:rsidRPr="00104589">
        <w:rPr>
          <w:rFonts w:eastAsiaTheme="minorHAnsi"/>
          <w:spacing w:val="4"/>
          <w:w w:val="103"/>
          <w:kern w:val="14"/>
          <w:sz w:val="20"/>
          <w:szCs w:val="20"/>
          <w:lang w:val="ru-RU" w:eastAsia="en-US" w:bidi="ru-RU"/>
        </w:rPr>
        <w:t xml:space="preserve"> интересы всех стран,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 удовлетворением принимает к сведению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доклад Генерального директора Организации Объединенных Наций по промышленному развитию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8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 удовлетворением отмечает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принятие 2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декабря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2013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Лимской декларации «Путь к достижению всеохватного и устойчивого промышленного развития»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ldChar w:fldCharType="begin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instrText xml:space="preserve"> NOTEREF _Ref472599858 \h </w:instrText>
      </w:r>
      <w:r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instrText xml:space="preserve"> \* MERGEFORMAT </w:instrTex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ldChar w:fldCharType="separate"/>
      </w:r>
      <w:r w:rsidR="001B0004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t>4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ldChar w:fldCharType="end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подтверждает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неделимый и всеохватный характер Повестки дня в области устойчивого развития 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9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принимая при этом во внимание, что достижение всеохватной и устойчивой индустриализации является неотъемлемой частью усилий по достижению целей в области устойчивого развития;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4.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вклад системы Организации Объединенных Наций, особенно, среди прочего, Продовольственной и сельскохозяйственной организации Объединенных Наций, Международной организации труда, Конференции Организации Объединенных Наций по торговле и развитию, Программы Организации Объединенных Наций по окружающей среде, Организации Объединенных Наций по промышленному развитию, Структуры Организации Объединенных Наций по вопросам гендерного равенства и расширения прав и возможностей женщин, Всемирной организации интеллектуальной собственности и региональных комиссий, международных финансовых учреждений, международных торговых и экономических учреждений и всех других соответствующих структур в содействие всеохватному и устойчивому промышленному развитию сообразно их соответствующим мандатам для повышения эффективности их деятельности и упрочения сотрудничества с неправительственными организациями и государственным и частным секторами в деле поощрения и активизации усилий по обеспечению всеохватного и устойчивого промышленного развития;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5.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учитывает также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уникальный мандат Организации Объединенных Наций по промышленному развитию в системе Организации Объединенных Наций, который заключается в содействии всеохватному и устойчивому промышленному развитию, и важный вклад, который в зависимости от обстоятельств эта организация, а также другие соответствующие структуры и заинтересованные стороны могут внести в поддержку усилий государств-членов по реализации Повестки дня </w:t>
      </w:r>
      <w:r w:rsidR="00333224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в области устойчивого развития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включая все соответствующие цели и задачи в области устойчивого развития;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6.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подтверждает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стратегии, действия и цели, сформулированные в Аддис-Абебской программе действий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10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осуществлять инвестиции в целях содействия всеохватному и устойчивому промышленному развитию для эффективного решения сложных задач, таких как обеспечение роста и создание рабочих мест, обеспечение эффективности использования ресурсов и энергоэффективности, борьба с загрязнением и изменением климата, распространение знаний, внедрение инноваций и преодоление социальной изоляции;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7.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мобилизация ресурсов из национальных и международных источников и создание благоприятных внутренних и внешних условий являются ключевыми факторами, способствующими устойчивому развитию;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8.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обращает особое внимание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на те потенциальные выгоды, которые развивающиеся страны могли бы извлечь благодаря наращиванию усилий по финансированию собственного развития за счет расширения мобилизации внутренних ресурсов и стимулирования притока финансовых средств с опорой на динамично и энергично развивающийся промышленный сектор для получения долгосрочной отдачи на основе обеспечения заинтересованности в результатах на местном, национальном и региональном уровнях;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9.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особо отмечает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каждая страна должна нести главную ответственность за собственное промышленное развитие, что национальная ответственность и руководящая роль самих стран имеют важнейшее значение в процессе развития и что роль национальной политики, ресурсов и стратегий развития невозможно переоценить, и особо отмечает также, что для государств жизненно важно поддерживать свой потенциал в плане разработки и проведения действенной политики в соответствии с их международными обязательствами и в этой связи при необходимости учитывать согласованные региональные стратегии и направления политики;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10.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обязательными условиями для обеспечения всеохватного и устойчивого промышленного развития являются проведение в жизнь последовательной промышленной политики и наличие институциональной базы, что должно дополняться необходимыми инвестициями в промышленную инфраструктуру, инновационной деятельностью, использованием экологичных технологий и подготовкой квалифицированных кадров;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11.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отмечает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открытие 16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апреля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2016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 Вашингтоне, округ Колумбия, Глобального форума по вопросам инфраструктуры под руководством многосторонних банков развития и выражает надежду на сотрудничество в соответствующих областях для укрепления связей между развитием инфраструктуры, всеохватной и устойчивой индустриализацией и внедрением инноваций;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12.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 признательностью отмечает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инициативу Группы двадцати по поддержке индустриализации в Африке и наименее развитых странах, с которой лидеры Группы двадцати выступили на ее саммите, состоявшемся 4–5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сентября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2016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 Ханчжоу, Китай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11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и которая нацелена на укрепление всеохватного роста и развития потенциала Африки и наименее развитых стран с помощью добровольных мер в области политики, и выражает надежду на ее осуществление, при этом настоятельно призывая Группу двадцати продолжать взаимодействовать с другими государствами — членами Организации Объединенных Наций в ее работе и делать все для того, чтобы любые инициативы Группы двадцати дополняли и укрепляли систему Организации Объединенных Наций;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13.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всеохватное и устойчивое промышленное развитие способно сыграть чрезвычайно важную роль в достижении других масштабных целей в области развития, включая цели в области устойчивого развития, поскольку благодаря принятию на вооружение подходов к обеспечению промышленного развития, ориентированных на придание ему всеохватного и устойчивого характера, страны выходят на путь самодостаточного социально-экономического развития на экологически устойчивой основе;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14.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учитывает также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достижение гендерного равенства и расширение прав и возможностей женщин и девочек на всех уровнях, в том числе в процессах принятия решений, внесут решающий вклад в реализацию всех целей в области устойчивого развития, включая обеспечение всеохватного и устойчивого промышленного развития;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15.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особо отмечает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партнерам по процессу развития следует при необходимости поддерживать национальные усилия и что эти усилия должны дополняться мерами по формированию основанной на правилах многосторонней торговой системы, которая содействовала бы развитию торговли и давала бы развивающимся странам возможность расширять номенклатуру их конкурентоспособного экспорта за счет укрепления их потенциала, содействия структурным преобразованиям и диверсификации их экономики и более широкого вовлечения и интеграции предприятий из развивающихся стран, включая микро- и малые промышленные предприятия, в глобальные производственно-сбытовые цепочки и торговые связи, что может способствовать экономическому росту и развитию, принимая при этом во внимание необходимость поддержки промышленного развития и производственно-сбытовых цепочек на местном и региональном уровне соответственно;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16.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особо отмечает также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международное сообщество и в соответствующих случаях частный сектор должны способствовать созданию условий, благоприятствующих устойчивому промышленному развитию;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17.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подчеркивает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национальные усилия в области развития должны подкрепляться благоприятными условиями в международной экономике, включая согласованные и взаимодополняющие глобальные торговую, валютную и финансовую системы, а также укрепленными и расширенными механизмами глобального экономического регулирования, и что решающее значение также имеют процессы, направленные на развитие соответствующих знаний и технологий и облегчение доступа к ним в глобальных масштабах, а также наращивание потенциала;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18.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важность роли частного сектора, а также роли государственно-частного партнерства в преодолении трудностей на пути к обеспечению устойчивого развития и в этой связи обращает особое внимание на важность укрепления существующих и формирования новых партнерских связей и сетевых объединений на глобальном, региональном и субрегиональном уровнях, в том числе в рамках сотрудничества Юг-Юг и трехстороннего сотрудничества, и всестороннего участия всех соответствующих заинтересованных сторон в усилиях по обеспечению всеохватного и устойчивого промышленного развития;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19.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подчеркивает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что отсутствие динамичного производственного сектора, включая обрабатывающую промышленность, является одним из многих факторов, который может привести к увеличению разрыва в доходах между богатыми и бедными и подрыву систем социальной защиты, а также к сохранению неравенства внутри стран и между ними;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20.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рекомендует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Организации Объединенных Наций по промышленному развитию организовывать глобальные обсуждения и содействовать формированию партнерств с участием многих заинтересованных сторон, с тем чтобы активно играть важную роль в достижении всеохватного и устойчивого промышленного развития и укреплять связи с развитием инфраструктуры и внедрением инноваций для достижения целей Повестки дня </w:t>
      </w:r>
      <w:r w:rsidR="00333224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в области устойчивого развития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21.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приветствует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предложение Объединенных Арабских Эмиратов и Организации Объединенных Наций по промышленному развитию провести 27–30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марта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2017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 Абу-Даби глобальный саммит по промышленному производству и индустриализации, который станет для правительств, частного сектора, гражданского общества и других соответствующих заинтересованных сторон многосторонней площадкой для обмена информацией о передовой практике, решения проблем и содействия поиску инновационных решений, с тем чтобы задействовать потенциал промышленного производства и индустриализации в интересах устойчивого развития;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22.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отмечает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продолжающееся сотрудничество Организации Объединенных Наций по промышленному развитию со структурами системы Организации Объединенных Наций, включая специализированные учреждения, фонды и программы;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23.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придает особое значение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продолжению работы Организации Объединенных Наций по промышленному развитию как одного из глобальных форумов для распространения знаний и оказания консультационной помощи по вопросам, связанным с промышленной политикой и стратегиями и успешным опытом и передовой практикой в области индустриализации;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24.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учитывает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ключевую роль Организации Объединенных Наций по промышленному развитию в содействии устойчивому промышленному развитию и инновационной деятельности в промышленности и использованию научно-технических достижений в национальных производственных системах;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25.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 удовлетворением отмечает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создание механизма содействия развитию технологий, решение о котором содержится в ее резолюции </w:t>
      </w:r>
      <w:hyperlink r:id="rId29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69/313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и начало его функционирования, решение о котором содержится в ее резолюции </w:t>
      </w:r>
      <w:hyperlink r:id="rId30" w:history="1">
        <w:r w:rsidRPr="00EF49E8">
          <w:rPr>
            <w:rStyle w:val="Hyperlink"/>
            <w:rFonts w:eastAsiaTheme="minorHAnsi"/>
            <w:spacing w:val="4"/>
            <w:w w:val="103"/>
            <w:kern w:val="14"/>
            <w:sz w:val="20"/>
            <w:szCs w:val="22"/>
            <w:lang w:val="ru-RU" w:eastAsia="en-US"/>
          </w:rPr>
          <w:t>70/1</w:t>
        </w:r>
      </w:hyperlink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и выражает надежду на дальнейшее сотрудничество между государствами-членами, гражданским обществом, частным сектором, научным сообществом, структурами Организации Объединенных Наций и другими заинтересованными сторонами в целях содействия всеохватному и устойчивому промышленному развитию;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26.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рекомендует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использовать региональное, субрегиональное и межрегиональное сотрудничество в качестве площадки для международного промышленного сотрудничества с целью содействовать увеличению инвестиций и передаче технологий на взаимно согласованных условиях для распространения информации о рациональных стратегиях и практике, а также способствовать обеспечению достойной работой, в том числе молодежи и женщин;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27.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рекомендует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Организации Объединенных Наций по промышленному развитию при необходимости согласовать ее среднесрочную стратегию с новым циклом четырехгодичного всеобъемлющего обзора политики в области оперативной деятельности в целях развития в рамках системы Организации Объединенных Наций; 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28.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 удовлетворением отмечает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начало </w:t>
      </w:r>
      <w:r w:rsidR="00CF6A10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осуществления</w:t>
      </w:r>
      <w:r w:rsidR="00CF6A10"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Организаци</w:t>
      </w:r>
      <w:r w:rsidR="00CF6A10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ей</w:t>
      </w:r>
      <w:r w:rsidR="00CF6A10"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Объединенных Наций по промышленному развитию </w:t>
      </w:r>
      <w:r w:rsidR="00CF6A10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п</w:t>
      </w:r>
      <w:r w:rsidR="00CF6A10"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рограмм странового партнерства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как многообещающего образца содействия всеохватному и устойчивому промышленному развитию ее государств-членов и выражает надежду на</w:t>
      </w:r>
      <w:r w:rsidR="00CF6A10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то, что практика осуществления таких программ получит</w:t>
      </w:r>
      <w:r w:rsidR="00CF6A10"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дальнейшее </w:t>
      </w:r>
      <w:r w:rsidR="00CF6A10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распространение</w:t>
      </w:r>
      <w:r w:rsidR="00CF6A10"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для охвата </w:t>
      </w:r>
      <w:r w:rsidR="00CF6A10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как можно большего числа стран при должном учете </w:t>
      </w:r>
      <w:r w:rsidR="00CF6A10"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конкретных потребностей разных стран в соответствии с Лимской декларацией;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29.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рекомендует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Организации Объединенных Наций по промышленному развитию продолжать оказывать развивающимся странам, включая страны Африки, наименее развитые страны, не имеющие выхода к морю развивающиеся страны, малые островные развивающиеся государства и страны, находящиеся в состоянии конфликта и в постконфликтных ситуациях, а также страны со средним уровнем дохода, которые сталкиваются со специфическими трудностями, содействие в участии в производственной деятельности, в частности на основе развития устойчивого агропромышленного комплекса и агробизнеса, которое повышает продовольственную безопасность, способствует искоренению голода, создает рабочие места и является экономически жизнеспособным;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30.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рекомендует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содействовать расширению сотрудничества Юг-Юг, трехстороннего сотрудничества и передачи, распространения и предоставления технологий на взаимно согласованных условиях, обеспечивая свое участие в международной торговле посредством развития микро-, малых и средних предприятий;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31.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рекомендует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оказывать поддержку в соблюдении международных стандартов в отношении товаров и процессов и вовлечении женщин и молодежи в процесс развития;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32.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 xml:space="preserve">рекомендует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Организации Объединенных Наций по промышленному развитию оказывать развивающимся странам по их просьбе и в соответствии с их первоочередными задачами в области развития поддержку в повышении уровня всеохватного и устойчивого промышленного развития посредством оказания им помощи в наращивании устойчивого производственного и торгового потенциала, в том числе посредством поддержки стратегий в контексте создания рабочих мест, ликвидации нищеты во всех ее формах и проявлениях, включая крайнюю нищету, и наращивания институционального потенциала для содействия экологичному и рациональному производству, в частности на основе программ экологически чистого производства, рационального водопользования в промышленности, повышения энергоэффективности промышленности и использования эффективных, современных и недорогих источников энергии в производственных целях, особенно в сельских районах, и в рамках дальнейшего сотрудничества с организациями системы Организации Объединенных Наций и другими организациями, с тем чтобы содействовать осуществлению многосторонних природоохранных соглашений и достижению глобальных целей в отношении доступа к современным видам энергии, обеспечения энергоэффективности и использования возобновляемых источников энергии;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33.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рекомендует также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Организации Объединенных Наций по промышленному развитию продолжать укреплять ее роль в оказании развивающимся странам помощи в формировании и распространении знаний посредством, в частности, использования ее глобальной сети отделений по содействию инвестициям и передаче технологий, центров ресурсосберегающего и экологичного производства и центров по сотрудничеству Юг-Юг, международных технологических центров ЮНИДО, а также по линии ее Института по укреплению потенциала и ее инициативы «Сетевые объединения во имя процветания»;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34.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вновь заявляет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 важности содействия созданию и развитию микро- и малых и средних предприятий в качестве одной из стратегий обеспечения промышленного развития, динамичного экономического роста и ликвидации нищеты и голода и создания рабочих мест, в том числе посредством мобилизации ресурсов и принятия мер по поддержке устойчивого и всеохватного развития, и ссылается в этой связи на рекомендацию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№ 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189 Международной организации труда о создании рабочих мест на малых и средних предприятиях;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35.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принимает во внимание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важность корпоративной отчетности по вопросам устойчивого развития, рекомендует компаниям, особенно зарегистрированным на бирже и крупным компаниям, изучить в тех случаях, когда это уместно, возможность включения информации по вопросам устойчивого развития в свою регулярную отчетность и рекомендует промышленным кругам, заинтересованным правительствам и соответствующим заинтересованным сторонам разработать при поддержке со стороны системы Организации Объединенных Наций, сообразно обстоятельствам, модели передовой практики и поддерживать усилия по включению в отчетность информации по вопросам устойчивого развития с учетом накопленного опыта применения уже существующих механизмов и с особым вниманием к потребностям развивающихся стран, в том числе в наращивании потенциала;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36.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 удовлетворением отмечает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поддержку, которую Организация Объединенных Наций по промышленному развитию продолжает оказывать Новому партнерству в интересах развития Африки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vertAlign w:val="superscript"/>
          <w:lang w:val="ru-RU" w:eastAsia="en-US"/>
        </w:rPr>
        <w:footnoteReference w:id="12"/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, «Африканской инициативе по (ускоренному) развитию агробизнеса и агропромышленного комплекса», «Плану производства фармацевтической продукции для Африки» и другим программам Африканского союза, направленным на дальнейшее укрепление процесса индустриализации в Африке;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37.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с удовлетворением принимает во внимание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усилия Всемирного банка и региональных банков развития, направленные на поддержку промышленного развития с помощью финансовых программ, и рекомендует Организации Объединенных Наций по промышленному развитию в тесном взаимодействии с региональными банками развития работать над осуществлением их региональных стратегий, в том числе с Африканским банком развития над осуществлением его стратегии индустриализации в Африке;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38.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подчеркивает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важность осуществляемой Организацией Объединенных Наций по промышленному развитию в рамках ее мандата деятельности по оказанию странам со средним уровнем дохода поддержки в их усилиях по ликвидации нищеты во всех ее формах и проявлениях, включая крайнюю нищету, уменьшению неравенства и обеспечению устойчивого развития;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39.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рекомендует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Организации Объединенных Наций по промышленному развитию продолжать продвигать в рамках ее мандата ее тематические приоритеты, к которым относятся обеспечение всеобщего процветания, повышение конкурентоспособности экономики и охрана окружающей среды, используя для этого ее четыре вспомогательные функции, которые включают в себя техническое сотрудничество, аналитико-исследовательские услуги и консультирование по вопросам разработки политики, выработку норм и стандартов и деятельность, связанную с контролем качества, и формирование партнерств для передачи знаний, создания сетей и промышленного сотрудничества в целях повышения качества услуг, предоставляемых ею развивающимся странам и странам с переходной экономикой, в соответствии с ее среднесрочной рамочной программой на 2016–2019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ы и с учетом Повестки дня </w:t>
      </w:r>
      <w:r w:rsidR="00333224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в области устойчивого развития 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на период до 2030</w:t>
      </w:r>
      <w:r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> года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и других соответствующих мероприятий в области развития; 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40.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0"/>
          <w:lang w:val="ru-RU" w:eastAsia="en-US"/>
        </w:rPr>
        <w:t>призывает</w:t>
      </w:r>
      <w:r w:rsidRPr="00104589">
        <w:rPr>
          <w:rFonts w:eastAsiaTheme="minorHAnsi"/>
          <w:spacing w:val="4"/>
          <w:w w:val="103"/>
          <w:kern w:val="14"/>
          <w:sz w:val="20"/>
          <w:szCs w:val="20"/>
          <w:lang w:val="ru-RU" w:eastAsia="en-US"/>
        </w:rPr>
        <w:t xml:space="preserve"> соответствующие организации системы Организации Объединенных Наций к тому, чтобы они, действуя в рамках своих мандатов и имеющихся ресурсов, </w:t>
      </w:r>
      <w:r w:rsidRPr="00104589">
        <w:rPr>
          <w:rFonts w:eastAsiaTheme="minorHAnsi"/>
          <w:spacing w:val="4"/>
          <w:w w:val="103"/>
          <w:kern w:val="14"/>
          <w:sz w:val="20"/>
          <w:szCs w:val="20"/>
          <w:lang w:val="ru-RU" w:eastAsia="en-US" w:bidi="ru-RU"/>
        </w:rPr>
        <w:t xml:space="preserve">обеспечивали, </w:t>
      </w:r>
      <w:r w:rsidRPr="00104589">
        <w:rPr>
          <w:rFonts w:eastAsiaTheme="minorHAnsi"/>
          <w:spacing w:val="4"/>
          <w:w w:val="103"/>
          <w:kern w:val="14"/>
          <w:sz w:val="20"/>
          <w:szCs w:val="20"/>
          <w:lang w:val="ru-RU" w:eastAsia="en-US"/>
        </w:rPr>
        <w:t xml:space="preserve">чтобы при осуществлении настоящей резолюции никто не был забыт и </w:t>
      </w:r>
      <w:r w:rsidRPr="00104589">
        <w:rPr>
          <w:rFonts w:eastAsiaTheme="minorHAnsi"/>
          <w:spacing w:val="4"/>
          <w:w w:val="103"/>
          <w:kern w:val="14"/>
          <w:sz w:val="20"/>
          <w:szCs w:val="20"/>
          <w:lang w:val="ru-RU" w:eastAsia="en-US" w:bidi="ru-RU"/>
        </w:rPr>
        <w:t>учитывались интересы всех стран</w:t>
      </w:r>
      <w:r w:rsidRPr="00104589">
        <w:rPr>
          <w:rFonts w:eastAsiaTheme="minorHAnsi"/>
          <w:spacing w:val="4"/>
          <w:w w:val="103"/>
          <w:kern w:val="14"/>
          <w:sz w:val="20"/>
          <w:szCs w:val="20"/>
          <w:lang w:val="ru-RU" w:eastAsia="en-US"/>
        </w:rPr>
        <w:t>;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</w:t>
      </w:r>
    </w:p>
    <w:p w:rsidR="00104589" w:rsidRPr="00104589" w:rsidRDefault="00104589" w:rsidP="0010458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</w:pP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  <w:t>41.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ab/>
      </w:r>
      <w:r w:rsidRPr="00104589">
        <w:rPr>
          <w:rFonts w:eastAsiaTheme="minorHAnsi"/>
          <w:i/>
          <w:spacing w:val="4"/>
          <w:w w:val="103"/>
          <w:kern w:val="14"/>
          <w:sz w:val="20"/>
          <w:szCs w:val="22"/>
          <w:lang w:val="ru-RU" w:eastAsia="en-US"/>
        </w:rPr>
        <w:t>просит</w:t>
      </w:r>
      <w:r w:rsidRPr="00104589">
        <w:rPr>
          <w:rFonts w:eastAsiaTheme="minorHAnsi"/>
          <w:spacing w:val="4"/>
          <w:w w:val="103"/>
          <w:kern w:val="14"/>
          <w:sz w:val="20"/>
          <w:szCs w:val="22"/>
          <w:lang w:val="ru-RU" w:eastAsia="en-US"/>
        </w:rPr>
        <w:t xml:space="preserve"> Генерального секретаря представить Генеральной Ассамблее на ее семьдесят третьей сессии доклад об осуществлении настоящей резолюции и постановляет включить в предварительную повестку дня своей семьдесят третьей сессии в рамках пункта, озаглавленного «Ликвидация нищеты и другие вопросы развития», подпункт, озаглавленный «Сотрудничество в области промышленного развития», если не будет принято иного решения.</w:t>
      </w:r>
    </w:p>
    <w:p w:rsidR="00EB09CF" w:rsidRPr="00104589" w:rsidRDefault="00EB09CF" w:rsidP="00EB09CF">
      <w:pPr>
        <w:widowControl w:val="0"/>
        <w:spacing w:line="120" w:lineRule="exact"/>
        <w:jc w:val="both"/>
        <w:rPr>
          <w:sz w:val="8"/>
          <w:lang w:val="ru-RU"/>
        </w:rPr>
      </w:pPr>
    </w:p>
    <w:p w:rsidR="00591808" w:rsidRPr="00104589" w:rsidRDefault="00B54DCE" w:rsidP="00591808">
      <w:pPr>
        <w:pStyle w:val="SingleTxt"/>
        <w:spacing w:line="240" w:lineRule="auto"/>
        <w:jc w:val="right"/>
        <w:rPr>
          <w:i/>
          <w:iCs/>
          <w:lang w:val="ru-RU"/>
        </w:rPr>
      </w:pPr>
      <w:r w:rsidRPr="00104589">
        <w:rPr>
          <w:i/>
          <w:iCs/>
          <w:lang w:val="ru-RU"/>
        </w:rPr>
        <w:t>6</w:t>
      </w:r>
      <w:r w:rsidR="00B275D6" w:rsidRPr="00104589">
        <w:rPr>
          <w:i/>
          <w:iCs/>
          <w:lang w:val="ru-RU"/>
        </w:rPr>
        <w:t>6</w:t>
      </w:r>
      <w:r w:rsidR="000C50A9" w:rsidRPr="00104589">
        <w:rPr>
          <w:i/>
          <w:iCs/>
          <w:lang w:val="ru-RU"/>
        </w:rPr>
        <w:t>-e</w:t>
      </w:r>
      <w:r w:rsidR="00EB09CF" w:rsidRPr="00104589">
        <w:rPr>
          <w:i/>
          <w:iCs/>
          <w:lang w:val="ru-RU"/>
        </w:rPr>
        <w:t xml:space="preserve"> пленарное заседание,</w:t>
      </w:r>
      <w:r w:rsidR="00EB09CF" w:rsidRPr="00104589">
        <w:rPr>
          <w:i/>
          <w:iCs/>
          <w:lang w:val="ru-RU"/>
        </w:rPr>
        <w:br/>
      </w:r>
      <w:r w:rsidR="00B275D6" w:rsidRPr="00104589">
        <w:rPr>
          <w:i/>
          <w:iCs/>
          <w:lang w:val="ru-RU"/>
        </w:rPr>
        <w:t>2</w:t>
      </w:r>
      <w:r w:rsidRPr="00104589">
        <w:rPr>
          <w:i/>
          <w:iCs/>
          <w:lang w:val="ru-RU"/>
        </w:rPr>
        <w:t>1</w:t>
      </w:r>
      <w:r w:rsidR="00104589">
        <w:rPr>
          <w:i/>
          <w:iCs/>
          <w:lang w:val="ru-RU"/>
        </w:rPr>
        <w:t> декабря</w:t>
      </w:r>
      <w:r w:rsidRPr="00104589">
        <w:rPr>
          <w:i/>
          <w:iCs/>
          <w:lang w:val="ru-RU"/>
        </w:rPr>
        <w:t xml:space="preserve"> </w:t>
      </w:r>
      <w:r w:rsidR="00EB09CF" w:rsidRPr="00104589">
        <w:rPr>
          <w:i/>
          <w:iCs/>
          <w:lang w:val="ru-RU"/>
        </w:rPr>
        <w:t>20</w:t>
      </w:r>
      <w:r w:rsidR="002121FE" w:rsidRPr="00104589">
        <w:rPr>
          <w:i/>
          <w:iCs/>
          <w:lang w:val="ru-RU"/>
        </w:rPr>
        <w:t>1</w:t>
      </w:r>
      <w:r w:rsidR="0029318F" w:rsidRPr="00104589">
        <w:rPr>
          <w:i/>
          <w:iCs/>
          <w:lang w:val="ru-RU"/>
        </w:rPr>
        <w:t>6</w:t>
      </w:r>
      <w:r w:rsidR="00104589">
        <w:rPr>
          <w:i/>
          <w:iCs/>
          <w:lang w:val="ru-RU"/>
        </w:rPr>
        <w:t> года</w:t>
      </w:r>
    </w:p>
    <w:p w:rsidR="00591808" w:rsidRPr="00104589" w:rsidRDefault="00280217" w:rsidP="00591808">
      <w:pPr>
        <w:pStyle w:val="SingleTxt"/>
        <w:spacing w:after="0" w:line="240" w:lineRule="auto"/>
        <w:rPr>
          <w:iCs/>
          <w:lang w:val="ru-RU"/>
        </w:rPr>
      </w:pPr>
      <w:r w:rsidRPr="00104589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70F75" wp14:editId="5468C9F4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12065" t="9525" r="698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X8EA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J6ExvXAEBldraUBs9qWez0fSnQ0pXLVF7Hhm+nA2kZSEjeZUSNs4A/q7/phnEkIPXsU2n&#10;xnYBEhqATlGN800NfvKIwuE8y/MUNKODKyHFkGes81+57lAwSiyBcsQlx43zgQcphpBwjdJrIWXU&#10;WirUl/gh+/wpJjgtBQvOEObsfldJi44kTEv8YlHguQ+z+qBYBGs5Yaur7YmQFxsulyrgQSVA52pd&#10;xuHXPJ2vZqtZPson09UoT+t69GVd5aPpGijVD3VV1dnvQC3Li1YwxlVgN4xmlv+f9NdHchmq23De&#10;2pC8Ro/9ArLDP5KOUgb1LnOw0+y8tYPEMI0x+Ppywrjf78G+f9/LPwAAAP//AwBQSwMEFAAGAAgA&#10;AAAhAH9WteHdAAAACQEAAA8AAABkcnMvZG93bnJldi54bWxMjz1PwzAQhnck/oN1SGzUpgoRSuNU&#10;JIKhA0i0SNDNjY8kIj6H2GnDv+cQA4z33qP3I1/PrhdHHEPnScP1QoFAqr3tqNHwsnu4ugURoiFr&#10;ek+o4QsDrIvzs9xk1p/oGY/b2Ag2oZAZDW2MQyZlqFt0Jiz8gMS/dz86E/kcG2lHc2Jz18ulUql0&#10;piNOaM2AVYv1x3ZyGmJ4fXuK0+azTMvHCnflvrqXG60vL+a7FYiIc/yD4ac+V4eCOx38RDaIXkOy&#10;VAmjGlLFmxi4SRMWDr+CLHL5f0HxDQAA//8DAFBLAQItABQABgAIAAAAIQC2gziS/gAAAOEBAAAT&#10;AAAAAAAAAAAAAAAAAAAAAABbQ29udGVudF9UeXBlc10ueG1sUEsBAi0AFAAGAAgAAAAhADj9If/W&#10;AAAAlAEAAAsAAAAAAAAAAAAAAAAALwEAAF9yZWxzLy5yZWxzUEsBAi0AFAAGAAgAAAAhAJHvNfwQ&#10;AgAAJwQAAA4AAAAAAAAAAAAAAAAALgIAAGRycy9lMm9Eb2MueG1sUEsBAi0AFAAGAAgAAAAhAH9W&#10;teHdAAAACQEAAA8AAAAAAAAAAAAAAAAAagQAAGRycy9kb3ducmV2LnhtbFBLBQYAAAAABAAEAPMA&#10;AAB0BQAAAAA=&#10;" strokeweight=".25pt"/>
            </w:pict>
          </mc:Fallback>
        </mc:AlternateContent>
      </w:r>
    </w:p>
    <w:sectPr w:rsidR="00591808" w:rsidRPr="00104589" w:rsidSect="00EB09CF">
      <w:headerReference w:type="even" r:id="rId31"/>
      <w:headerReference w:type="default" r:id="rId32"/>
      <w:footerReference w:type="even" r:id="rId33"/>
      <w:footerReference w:type="default" r:id="rId34"/>
      <w:type w:val="continuous"/>
      <w:pgSz w:w="12240" w:h="15840" w:code="1"/>
      <w:pgMar w:top="1584" w:right="1195" w:bottom="1440" w:left="1195" w:header="576" w:footer="100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2-02T15:06:00Z" w:initials="Start">
    <w:p w:rsidR="00EF49E8" w:rsidRDefault="00EF49E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NO&gt;&gt;N1646155R&lt;&lt;ODS JOB NO&gt;&gt;</w:t>
      </w:r>
    </w:p>
    <w:p w:rsidR="00EF49E8" w:rsidRDefault="00EF49E8">
      <w:pPr>
        <w:pStyle w:val="CommentText"/>
      </w:pPr>
      <w:r>
        <w:t>&lt;&lt;ODS DOC SYMBOL1&gt;&gt;A/RES/71/242&lt;&lt;ODS DOC SYMBOL1&gt;&gt;</w:t>
      </w:r>
    </w:p>
    <w:p w:rsidR="00EF49E8" w:rsidRDefault="00EF49E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C5" w:rsidRDefault="00F411C5">
      <w:r>
        <w:separator/>
      </w:r>
    </w:p>
  </w:endnote>
  <w:endnote w:type="continuationSeparator" w:id="0">
    <w:p w:rsidR="00F411C5" w:rsidRDefault="00F4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Unicode Symbols">
    <w:altName w:val="MS Mincho"/>
    <w:charset w:val="00"/>
    <w:family w:val="roman"/>
    <w:pitch w:val="variable"/>
    <w:sig w:usb0="00000001" w:usb1="1A03FBFF" w:usb2="00000027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32" w:rsidRDefault="005B7632">
    <w:pPr>
      <w:pStyle w:val="Footer"/>
      <w:framePr w:w="362" w:h="365" w:hRule="exact" w:wrap="around" w:vAnchor="text" w:hAnchor="page" w:x="1162" w:y="8"/>
      <w:rPr>
        <w:rStyle w:val="PageNumber"/>
        <w:b/>
        <w:sz w:val="18"/>
      </w:rPr>
    </w:pP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PAGE  </w:instrText>
    </w:r>
    <w:r>
      <w:rPr>
        <w:rStyle w:val="PageNumber"/>
        <w:b/>
        <w:sz w:val="18"/>
      </w:rPr>
      <w:fldChar w:fldCharType="separate"/>
    </w:r>
    <w:r w:rsidR="001B0004">
      <w:rPr>
        <w:rStyle w:val="PageNumber"/>
        <w:b/>
        <w:noProof/>
        <w:sz w:val="18"/>
      </w:rPr>
      <w:t>11</w:t>
    </w:r>
    <w:r>
      <w:rPr>
        <w:rStyle w:val="PageNumber"/>
        <w:b/>
        <w:sz w:val="18"/>
      </w:rPr>
      <w:fldChar w:fldCharType="end"/>
    </w:r>
  </w:p>
  <w:p w:rsidR="005B7632" w:rsidRDefault="005B763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32" w:rsidRDefault="005B7632">
    <w:pPr>
      <w:pStyle w:val="Footer"/>
      <w:spacing w:before="240"/>
      <w:jc w:val="right"/>
      <w:rPr>
        <w:b/>
        <w:bCs/>
        <w:sz w:val="18"/>
      </w:rPr>
    </w:pP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 w:rsidR="001B0004">
      <w:rPr>
        <w:rStyle w:val="PageNumber"/>
        <w:b/>
        <w:bCs/>
        <w:noProof/>
        <w:sz w:val="18"/>
      </w:rPr>
      <w:t>11</w:t>
    </w:r>
    <w:r>
      <w:rPr>
        <w:rStyle w:val="PageNumber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3528"/>
      <w:gridCol w:w="5337"/>
    </w:tblGrid>
    <w:tr w:rsidR="00793340" w:rsidRPr="00333224" w:rsidTr="00280217">
      <w:tc>
        <w:tcPr>
          <w:tcW w:w="3528" w:type="dxa"/>
          <w:shd w:val="clear" w:color="auto" w:fill="auto"/>
        </w:tcPr>
        <w:p w:rsidR="00793340" w:rsidRPr="00BC74DA" w:rsidRDefault="00280217" w:rsidP="00280217">
          <w:pPr>
            <w:pStyle w:val="Footer"/>
          </w:pPr>
          <w:r>
            <w:t>16-22825 (R)</w:t>
          </w:r>
        </w:p>
        <w:p w:rsidR="00793340" w:rsidRPr="00280217" w:rsidRDefault="00280217" w:rsidP="00280217">
          <w:pPr>
            <w:pStyle w:val="Footer"/>
            <w:spacing w:after="4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*1622825*</w:t>
          </w:r>
        </w:p>
      </w:tc>
      <w:tc>
        <w:tcPr>
          <w:tcW w:w="5337" w:type="dxa"/>
          <w:shd w:val="clear" w:color="auto" w:fill="auto"/>
        </w:tcPr>
        <w:p w:rsidR="00793340" w:rsidRPr="00333224" w:rsidRDefault="00815CE6" w:rsidP="00280217">
          <w:pPr>
            <w:pStyle w:val="Footer"/>
            <w:spacing w:before="80"/>
            <w:jc w:val="right"/>
            <w:rPr>
              <w:lang w:val="ru-RU"/>
            </w:rPr>
          </w:pPr>
          <w:r w:rsidRPr="00A170A9">
            <w:rPr>
              <w:rFonts w:ascii="Times New Roman Bold" w:hAnsi="Times New Roman Bold" w:cs="Times New Roman Bold"/>
              <w:b/>
              <w:bCs/>
              <w:spacing w:val="-2"/>
              <w:w w:val="104"/>
              <w:sz w:val="17"/>
              <w:szCs w:val="17"/>
              <w:lang w:val="ru-RU"/>
            </w:rPr>
            <w:t>Просьба отправить на вторичную переработку</w:t>
          </w:r>
          <w:r w:rsidRPr="00333224">
            <w:rPr>
              <w:rFonts w:cs="Times New Roman Bold"/>
              <w:b/>
              <w:bCs/>
              <w:spacing w:val="-2"/>
              <w:w w:val="104"/>
              <w:sz w:val="17"/>
              <w:szCs w:val="17"/>
              <w:lang w:val="ru-RU"/>
            </w:rPr>
            <w:t xml:space="preserve"> </w:t>
          </w:r>
          <w:r w:rsidRPr="00333224">
            <w:rPr>
              <w:rFonts w:ascii="Unicode Symbols" w:eastAsia="Arial Unicode MS" w:hAnsi="Unicode Symbols" w:cs="Arial Unicode MS"/>
              <w:spacing w:val="2"/>
              <w:w w:val="104"/>
              <w:sz w:val="28"/>
              <w:szCs w:val="28"/>
              <w:lang w:val="ru-RU"/>
            </w:rPr>
            <w:t xml:space="preserve"> </w:t>
          </w:r>
          <w:r w:rsidR="00280217">
            <w:rPr>
              <w:bCs/>
              <w:noProof/>
              <w:spacing w:val="-2"/>
              <w:w w:val="104"/>
              <w:sz w:val="17"/>
              <w:szCs w:val="17"/>
            </w:rPr>
            <w:drawing>
              <wp:inline distT="0" distB="0" distL="0" distR="0" wp14:anchorId="26693F85" wp14:editId="2EB68DDC">
                <wp:extent cx="236220" cy="227330"/>
                <wp:effectExtent l="0" t="0" r="0" b="1270"/>
                <wp:docPr id="3" name="Picture 3" descr="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3340" w:rsidRDefault="00280217" w:rsidP="005B7632">
    <w:pPr>
      <w:pStyle w:val="Footer"/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D01C5" wp14:editId="6CE9BC07">
          <wp:simplePos x="0" y="0"/>
          <wp:positionH relativeFrom="column">
            <wp:posOffset>5572125</wp:posOffset>
          </wp:positionH>
          <wp:positionV relativeFrom="paragraph">
            <wp:posOffset>-382270</wp:posOffset>
          </wp:positionV>
          <wp:extent cx="709930" cy="709930"/>
          <wp:effectExtent l="0" t="0" r="0" b="0"/>
          <wp:wrapNone/>
          <wp:docPr id="2" name="Picture 1" descr="http://undocs.org/m2/QRCode.ashx?DS=A/RES/71/242&amp;Size 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RES/71/242&amp;Size =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32" w:rsidRPr="00D0399B" w:rsidRDefault="005B7632">
    <w:pPr>
      <w:pStyle w:val="Footer"/>
      <w:spacing w:before="240"/>
      <w:rPr>
        <w:rStyle w:val="PageNumber"/>
      </w:rPr>
    </w:pP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 w:rsidR="001B0004">
      <w:rPr>
        <w:rStyle w:val="PageNumber"/>
        <w:b/>
        <w:bCs/>
        <w:noProof/>
        <w:sz w:val="18"/>
      </w:rPr>
      <w:t>10</w:t>
    </w:r>
    <w:r>
      <w:rPr>
        <w:rStyle w:val="PageNumber"/>
        <w:b/>
        <w:bCs/>
        <w:sz w:val="18"/>
      </w:rPr>
      <w:fldChar w:fldCharType="end"/>
    </w:r>
    <w:r w:rsidR="00D0399B" w:rsidRPr="00D0399B">
      <w:rPr>
        <w:rStyle w:val="PageNumber"/>
        <w:b/>
        <w:bCs/>
        <w:sz w:val="18"/>
      </w:rPr>
      <w:t>/</w:t>
    </w:r>
    <w:r w:rsidR="003A5C7B" w:rsidRPr="003A5C7B">
      <w:rPr>
        <w:rStyle w:val="PageNumber"/>
        <w:b/>
        <w:bCs/>
        <w:sz w:val="18"/>
      </w:rPr>
      <w:fldChar w:fldCharType="begin"/>
    </w:r>
    <w:r w:rsidR="003A5C7B" w:rsidRPr="003A5C7B">
      <w:rPr>
        <w:rStyle w:val="PageNumber"/>
        <w:b/>
        <w:bCs/>
        <w:sz w:val="18"/>
      </w:rPr>
      <w:instrText xml:space="preserve"> NUMPAGES </w:instrText>
    </w:r>
    <w:r w:rsidR="003A5C7B" w:rsidRPr="003A5C7B">
      <w:rPr>
        <w:rStyle w:val="PageNumber"/>
        <w:b/>
        <w:bCs/>
        <w:sz w:val="18"/>
      </w:rPr>
      <w:fldChar w:fldCharType="separate"/>
    </w:r>
    <w:r w:rsidR="001B0004">
      <w:rPr>
        <w:rStyle w:val="PageNumber"/>
        <w:b/>
        <w:bCs/>
        <w:noProof/>
        <w:sz w:val="18"/>
      </w:rPr>
      <w:t>11</w:t>
    </w:r>
    <w:r w:rsidR="003A5C7B" w:rsidRPr="003A5C7B">
      <w:rPr>
        <w:rStyle w:val="PageNumber"/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32" w:rsidRDefault="005B7632">
    <w:pPr>
      <w:pStyle w:val="Footer"/>
      <w:spacing w:before="240"/>
      <w:jc w:val="right"/>
      <w:rPr>
        <w:b/>
        <w:bCs/>
        <w:sz w:val="18"/>
      </w:rPr>
    </w:pP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 w:rsidR="001B0004">
      <w:rPr>
        <w:rStyle w:val="PageNumber"/>
        <w:b/>
        <w:bCs/>
        <w:noProof/>
        <w:sz w:val="18"/>
      </w:rPr>
      <w:t>11</w:t>
    </w:r>
    <w:r>
      <w:rPr>
        <w:rStyle w:val="PageNumber"/>
        <w:b/>
        <w:bCs/>
        <w:sz w:val="18"/>
      </w:rPr>
      <w:fldChar w:fldCharType="end"/>
    </w:r>
    <w:r w:rsidR="00D0399B">
      <w:rPr>
        <w:rStyle w:val="PageNumber"/>
        <w:b/>
        <w:bCs/>
        <w:sz w:val="18"/>
      </w:rPr>
      <w:t>/</w:t>
    </w:r>
    <w:r w:rsidR="003A5C7B" w:rsidRPr="003A5C7B">
      <w:rPr>
        <w:rStyle w:val="PageNumber"/>
        <w:b/>
        <w:bCs/>
        <w:sz w:val="18"/>
      </w:rPr>
      <w:fldChar w:fldCharType="begin"/>
    </w:r>
    <w:r w:rsidR="003A5C7B" w:rsidRPr="003A5C7B">
      <w:rPr>
        <w:rStyle w:val="PageNumber"/>
        <w:b/>
        <w:bCs/>
        <w:sz w:val="18"/>
      </w:rPr>
      <w:instrText xml:space="preserve"> NUMPAGES </w:instrText>
    </w:r>
    <w:r w:rsidR="003A5C7B" w:rsidRPr="003A5C7B">
      <w:rPr>
        <w:rStyle w:val="PageNumber"/>
        <w:b/>
        <w:bCs/>
        <w:sz w:val="18"/>
      </w:rPr>
      <w:fldChar w:fldCharType="separate"/>
    </w:r>
    <w:r w:rsidR="001B0004">
      <w:rPr>
        <w:rStyle w:val="PageNumber"/>
        <w:b/>
        <w:bCs/>
        <w:noProof/>
        <w:sz w:val="18"/>
      </w:rPr>
      <w:t>11</w:t>
    </w:r>
    <w:r w:rsidR="003A5C7B" w:rsidRPr="003A5C7B">
      <w:rPr>
        <w:rStyle w:val="PageNumber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C5" w:rsidRPr="00104589" w:rsidRDefault="00F411C5" w:rsidP="00104589">
      <w:pPr>
        <w:pStyle w:val="Footer"/>
        <w:suppressAutoHyphens/>
        <w:spacing w:beforeLines="100" w:before="240" w:afterLines="50" w:after="120"/>
        <w:ind w:left="1267" w:right="1267"/>
        <w:rPr>
          <w:b/>
          <w:kern w:val="14"/>
        </w:rPr>
      </w:pPr>
      <w:r w:rsidRPr="00104589">
        <w:rPr>
          <w:b/>
          <w:kern w:val="14"/>
        </w:rPr>
        <w:t>_______________</w:t>
      </w:r>
    </w:p>
  </w:footnote>
  <w:footnote w:type="continuationSeparator" w:id="0">
    <w:p w:rsidR="00F411C5" w:rsidRPr="00C43F98" w:rsidRDefault="00F411C5">
      <w:pPr>
        <w:rPr>
          <w:highlight w:val="yellow"/>
        </w:rPr>
      </w:pPr>
      <w:r w:rsidRPr="00C43F98">
        <w:rPr>
          <w:highlight w:val="yellow"/>
        </w:rPr>
        <w:continuationSeparator/>
      </w:r>
    </w:p>
  </w:footnote>
  <w:footnote w:id="1">
    <w:p w:rsidR="00104589" w:rsidRPr="00333224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ru-RU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r w:rsidRPr="00333224">
        <w:rPr>
          <w:sz w:val="17"/>
          <w:lang w:val="ru-RU"/>
        </w:rPr>
        <w:t>См.</w:t>
      </w:r>
      <w:r w:rsidRPr="00104589">
        <w:rPr>
          <w:sz w:val="17"/>
        </w:rPr>
        <w:t> </w:t>
      </w:r>
      <w:hyperlink r:id="rId1" w:history="1">
        <w:r w:rsidRPr="00104589">
          <w:rPr>
            <w:rStyle w:val="Hyperlink"/>
            <w:sz w:val="17"/>
          </w:rPr>
          <w:t>FCCC</w:t>
        </w:r>
        <w:r w:rsidRPr="00333224">
          <w:rPr>
            <w:rStyle w:val="Hyperlink"/>
            <w:sz w:val="17"/>
            <w:lang w:val="ru-RU"/>
          </w:rPr>
          <w:t>/</w:t>
        </w:r>
        <w:r w:rsidRPr="00104589">
          <w:rPr>
            <w:rStyle w:val="Hyperlink"/>
            <w:sz w:val="17"/>
          </w:rPr>
          <w:t>CP</w:t>
        </w:r>
        <w:r w:rsidRPr="00333224">
          <w:rPr>
            <w:rStyle w:val="Hyperlink"/>
            <w:sz w:val="17"/>
            <w:lang w:val="ru-RU"/>
          </w:rPr>
          <w:t>/2015/10/</w:t>
        </w:r>
        <w:r w:rsidRPr="00104589">
          <w:rPr>
            <w:rStyle w:val="Hyperlink"/>
            <w:sz w:val="17"/>
          </w:rPr>
          <w:t>Add</w:t>
        </w:r>
        <w:r w:rsidRPr="00333224">
          <w:rPr>
            <w:rStyle w:val="Hyperlink"/>
            <w:sz w:val="17"/>
            <w:lang w:val="ru-RU"/>
          </w:rPr>
          <w:t>.1</w:t>
        </w:r>
      </w:hyperlink>
      <w:r w:rsidRPr="00333224">
        <w:rPr>
          <w:sz w:val="17"/>
          <w:lang w:val="ru-RU"/>
        </w:rPr>
        <w:t>, решение</w:t>
      </w:r>
      <w:r w:rsidRPr="00104589">
        <w:rPr>
          <w:sz w:val="17"/>
        </w:rPr>
        <w:t> </w:t>
      </w:r>
      <w:r w:rsidRPr="00333224">
        <w:rPr>
          <w:sz w:val="17"/>
          <w:lang w:val="ru-RU"/>
        </w:rPr>
        <w:t>1/</w:t>
      </w:r>
      <w:r w:rsidRPr="00104589">
        <w:rPr>
          <w:sz w:val="17"/>
        </w:rPr>
        <w:t>CP</w:t>
      </w:r>
      <w:r w:rsidRPr="00333224">
        <w:rPr>
          <w:sz w:val="17"/>
          <w:lang w:val="ru-RU"/>
        </w:rPr>
        <w:t>.21, приложение.</w:t>
      </w:r>
    </w:p>
  </w:footnote>
  <w:footnote w:id="2">
    <w:p w:rsidR="00104589" w:rsidRPr="00104589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r w:rsidRPr="00104589">
        <w:rPr>
          <w:sz w:val="17"/>
        </w:rPr>
        <w:t>United Nations, Treaty Series, vol. 1771, No. 30822.</w:t>
      </w:r>
    </w:p>
  </w:footnote>
  <w:footnote w:id="3">
    <w:p w:rsidR="00104589" w:rsidRPr="00104589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hyperlink r:id="rId2" w:history="1">
        <w:r w:rsidRPr="00104589">
          <w:rPr>
            <w:rStyle w:val="Hyperlink"/>
            <w:sz w:val="17"/>
          </w:rPr>
          <w:t>TD/519/Add.1</w:t>
        </w:r>
      </w:hyperlink>
      <w:r w:rsidRPr="00104589">
        <w:rPr>
          <w:sz w:val="17"/>
        </w:rPr>
        <w:t xml:space="preserve"> и 2.</w:t>
      </w:r>
    </w:p>
  </w:footnote>
  <w:footnote w:id="4">
    <w:p w:rsidR="00104589" w:rsidRPr="00104589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r w:rsidRPr="00104589">
        <w:rPr>
          <w:sz w:val="17"/>
        </w:rPr>
        <w:t>См. GC.15/INF/4, резолюция GC.15/Res.1.</w:t>
      </w:r>
    </w:p>
  </w:footnote>
  <w:footnote w:id="5">
    <w:p w:rsidR="00104589" w:rsidRPr="00333224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ru-RU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i/>
          <w:sz w:val="17"/>
        </w:rPr>
        <w:t> </w:t>
      </w:r>
      <w:r w:rsidRPr="00333224">
        <w:rPr>
          <w:i/>
          <w:sz w:val="17"/>
          <w:lang w:val="ru-RU"/>
        </w:rPr>
        <w:t>Доклад четвертой Конференции Организации Объединенных Наций по наименее развитым странам, Стамбул, Турция, 9–13</w:t>
      </w:r>
      <w:r w:rsidRPr="00104589">
        <w:rPr>
          <w:i/>
          <w:sz w:val="17"/>
        </w:rPr>
        <w:t> </w:t>
      </w:r>
      <w:r w:rsidRPr="00333224">
        <w:rPr>
          <w:i/>
          <w:sz w:val="17"/>
          <w:lang w:val="ru-RU"/>
        </w:rPr>
        <w:t>мая 2011</w:t>
      </w:r>
      <w:r w:rsidRPr="00104589">
        <w:rPr>
          <w:i/>
          <w:sz w:val="17"/>
        </w:rPr>
        <w:t> </w:t>
      </w:r>
      <w:r w:rsidRPr="00333224">
        <w:rPr>
          <w:i/>
          <w:sz w:val="17"/>
          <w:lang w:val="ru-RU"/>
        </w:rPr>
        <w:t>года</w:t>
      </w:r>
      <w:r w:rsidRPr="00333224">
        <w:rPr>
          <w:sz w:val="17"/>
          <w:lang w:val="ru-RU"/>
        </w:rPr>
        <w:t xml:space="preserve"> (</w:t>
      </w:r>
      <w:hyperlink r:id="rId3" w:history="1">
        <w:r w:rsidRPr="00104589">
          <w:rPr>
            <w:rStyle w:val="Hyperlink"/>
            <w:sz w:val="17"/>
          </w:rPr>
          <w:t>A</w:t>
        </w:r>
        <w:r w:rsidRPr="00333224">
          <w:rPr>
            <w:rStyle w:val="Hyperlink"/>
            <w:sz w:val="17"/>
            <w:lang w:val="ru-RU"/>
          </w:rPr>
          <w:t>/</w:t>
        </w:r>
        <w:r w:rsidRPr="00104589">
          <w:rPr>
            <w:rStyle w:val="Hyperlink"/>
            <w:sz w:val="17"/>
          </w:rPr>
          <w:t>CONF</w:t>
        </w:r>
        <w:r w:rsidRPr="00333224">
          <w:rPr>
            <w:rStyle w:val="Hyperlink"/>
            <w:sz w:val="17"/>
            <w:lang w:val="ru-RU"/>
          </w:rPr>
          <w:t>.219/7</w:t>
        </w:r>
      </w:hyperlink>
      <w:r w:rsidRPr="00333224">
        <w:rPr>
          <w:sz w:val="17"/>
          <w:lang w:val="ru-RU"/>
        </w:rPr>
        <w:t>), глава</w:t>
      </w:r>
      <w:r w:rsidRPr="00104589">
        <w:rPr>
          <w:sz w:val="17"/>
        </w:rPr>
        <w:t> II</w:t>
      </w:r>
      <w:r w:rsidRPr="00333224">
        <w:rPr>
          <w:sz w:val="17"/>
          <w:lang w:val="ru-RU"/>
        </w:rPr>
        <w:t>.</w:t>
      </w:r>
    </w:p>
  </w:footnote>
  <w:footnote w:id="6">
    <w:p w:rsidR="00104589" w:rsidRPr="00333224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ru-RU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r w:rsidRPr="00333224">
        <w:rPr>
          <w:sz w:val="17"/>
          <w:lang w:val="ru-RU"/>
        </w:rPr>
        <w:t xml:space="preserve">Резолюция </w:t>
      </w:r>
      <w:hyperlink r:id="rId4" w:history="1">
        <w:r w:rsidRPr="00333224">
          <w:rPr>
            <w:rStyle w:val="Hyperlink"/>
            <w:sz w:val="17"/>
            <w:lang w:val="ru-RU"/>
          </w:rPr>
          <w:t>69/15</w:t>
        </w:r>
      </w:hyperlink>
      <w:r w:rsidRPr="00333224">
        <w:rPr>
          <w:sz w:val="17"/>
          <w:lang w:val="ru-RU"/>
        </w:rPr>
        <w:t>, приложение.</w:t>
      </w:r>
    </w:p>
  </w:footnote>
  <w:footnote w:id="7">
    <w:p w:rsidR="00104589" w:rsidRPr="00333224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ru-RU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r w:rsidRPr="00333224">
        <w:rPr>
          <w:sz w:val="17"/>
          <w:lang w:val="ru-RU"/>
        </w:rPr>
        <w:t xml:space="preserve">Резолюция </w:t>
      </w:r>
      <w:hyperlink r:id="rId5" w:history="1">
        <w:r w:rsidRPr="00333224">
          <w:rPr>
            <w:rStyle w:val="Hyperlink"/>
            <w:sz w:val="17"/>
            <w:lang w:val="ru-RU"/>
          </w:rPr>
          <w:t>69/137</w:t>
        </w:r>
      </w:hyperlink>
      <w:r w:rsidRPr="00333224">
        <w:rPr>
          <w:sz w:val="17"/>
          <w:lang w:val="ru-RU"/>
        </w:rPr>
        <w:t>, приложение</w:t>
      </w:r>
      <w:r w:rsidRPr="00104589">
        <w:rPr>
          <w:sz w:val="17"/>
        </w:rPr>
        <w:t> II</w:t>
      </w:r>
      <w:r w:rsidRPr="00333224">
        <w:rPr>
          <w:sz w:val="17"/>
          <w:lang w:val="ru-RU"/>
        </w:rPr>
        <w:t>.</w:t>
      </w:r>
    </w:p>
  </w:footnote>
  <w:footnote w:id="8">
    <w:p w:rsidR="00104589" w:rsidRPr="00333224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ru-RU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r w:rsidRPr="00333224">
        <w:rPr>
          <w:sz w:val="17"/>
          <w:lang w:val="ru-RU"/>
        </w:rPr>
        <w:t>См.</w:t>
      </w:r>
      <w:r w:rsidRPr="00104589">
        <w:rPr>
          <w:sz w:val="17"/>
        </w:rPr>
        <w:t> </w:t>
      </w:r>
      <w:r w:rsidRPr="00333224">
        <w:rPr>
          <w:sz w:val="17"/>
          <w:lang w:val="ru-RU"/>
        </w:rPr>
        <w:t>А/</w:t>
      </w:r>
      <w:hyperlink r:id="rId6" w:history="1">
        <w:r w:rsidRPr="00333224">
          <w:rPr>
            <w:rStyle w:val="Hyperlink"/>
            <w:sz w:val="17"/>
            <w:lang w:val="ru-RU"/>
          </w:rPr>
          <w:t>71/264</w:t>
        </w:r>
      </w:hyperlink>
      <w:r w:rsidRPr="00333224">
        <w:rPr>
          <w:sz w:val="17"/>
          <w:lang w:val="ru-RU"/>
        </w:rPr>
        <w:t>.</w:t>
      </w:r>
    </w:p>
  </w:footnote>
  <w:footnote w:id="9">
    <w:p w:rsidR="00104589" w:rsidRPr="00333224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ru-RU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r w:rsidRPr="00333224">
        <w:rPr>
          <w:sz w:val="17"/>
          <w:lang w:val="ru-RU"/>
        </w:rPr>
        <w:t>Резолюция</w:t>
      </w:r>
      <w:r w:rsidRPr="00104589">
        <w:rPr>
          <w:sz w:val="17"/>
        </w:rPr>
        <w:t> </w:t>
      </w:r>
      <w:hyperlink r:id="rId7" w:history="1">
        <w:r w:rsidRPr="00333224">
          <w:rPr>
            <w:rStyle w:val="Hyperlink"/>
            <w:sz w:val="17"/>
            <w:lang w:val="ru-RU"/>
          </w:rPr>
          <w:t>70/1</w:t>
        </w:r>
      </w:hyperlink>
      <w:r w:rsidRPr="00333224">
        <w:rPr>
          <w:sz w:val="17"/>
          <w:lang w:val="ru-RU"/>
        </w:rPr>
        <w:t>.</w:t>
      </w:r>
    </w:p>
  </w:footnote>
  <w:footnote w:id="10">
    <w:p w:rsidR="00104589" w:rsidRPr="00333224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ru-RU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r w:rsidRPr="00333224">
        <w:rPr>
          <w:sz w:val="17"/>
          <w:lang w:val="ru-RU"/>
        </w:rPr>
        <w:t>Резолюция</w:t>
      </w:r>
      <w:r w:rsidRPr="00104589">
        <w:rPr>
          <w:sz w:val="17"/>
        </w:rPr>
        <w:t> </w:t>
      </w:r>
      <w:hyperlink r:id="rId8" w:history="1">
        <w:r w:rsidRPr="00333224">
          <w:rPr>
            <w:rStyle w:val="Hyperlink"/>
            <w:sz w:val="17"/>
            <w:lang w:val="ru-RU"/>
          </w:rPr>
          <w:t>69/313</w:t>
        </w:r>
      </w:hyperlink>
      <w:r w:rsidRPr="00333224">
        <w:rPr>
          <w:sz w:val="17"/>
          <w:lang w:val="ru-RU"/>
        </w:rPr>
        <w:t>, приложение.</w:t>
      </w:r>
    </w:p>
  </w:footnote>
  <w:footnote w:id="11">
    <w:p w:rsidR="00104589" w:rsidRPr="00333224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ru-RU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r w:rsidRPr="00333224">
        <w:rPr>
          <w:sz w:val="17"/>
          <w:lang w:val="ru-RU"/>
        </w:rPr>
        <w:t>См.</w:t>
      </w:r>
      <w:r w:rsidRPr="00104589">
        <w:rPr>
          <w:sz w:val="17"/>
        </w:rPr>
        <w:t> </w:t>
      </w:r>
      <w:r w:rsidRPr="00333224">
        <w:rPr>
          <w:sz w:val="17"/>
          <w:lang w:val="ru-RU"/>
        </w:rPr>
        <w:t>А/</w:t>
      </w:r>
      <w:hyperlink r:id="rId9" w:history="1">
        <w:r w:rsidRPr="00333224">
          <w:rPr>
            <w:rStyle w:val="Hyperlink"/>
            <w:sz w:val="17"/>
            <w:lang w:val="ru-RU"/>
          </w:rPr>
          <w:t>71/380</w:t>
        </w:r>
      </w:hyperlink>
      <w:r w:rsidRPr="00333224">
        <w:rPr>
          <w:sz w:val="17"/>
          <w:lang w:val="ru-RU"/>
        </w:rPr>
        <w:t>, приложение.</w:t>
      </w:r>
    </w:p>
  </w:footnote>
  <w:footnote w:id="12">
    <w:p w:rsidR="00104589" w:rsidRPr="00333224" w:rsidRDefault="00104589" w:rsidP="00104589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ru-RU"/>
        </w:rPr>
      </w:pPr>
      <w:r w:rsidRPr="00104589">
        <w:rPr>
          <w:rStyle w:val="FootnoteReference"/>
          <w:spacing w:val="0"/>
          <w:w w:val="100"/>
          <w:kern w:val="0"/>
          <w:sz w:val="17"/>
        </w:rPr>
        <w:footnoteRef/>
      </w:r>
      <w:r>
        <w:rPr>
          <w:sz w:val="17"/>
        </w:rPr>
        <w:t> </w:t>
      </w:r>
      <w:hyperlink r:id="rId10" w:history="1">
        <w:r w:rsidRPr="00104589">
          <w:rPr>
            <w:rStyle w:val="Hyperlink"/>
            <w:sz w:val="17"/>
          </w:rPr>
          <w:t>A</w:t>
        </w:r>
        <w:r w:rsidRPr="00333224">
          <w:rPr>
            <w:rStyle w:val="Hyperlink"/>
            <w:sz w:val="17"/>
            <w:lang w:val="ru-RU"/>
          </w:rPr>
          <w:t>/57/304</w:t>
        </w:r>
      </w:hyperlink>
      <w:r w:rsidRPr="00333224">
        <w:rPr>
          <w:sz w:val="17"/>
          <w:lang w:val="ru-RU"/>
        </w:rPr>
        <w:t>, приложение.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350"/>
      <w:gridCol w:w="5220"/>
      <w:gridCol w:w="3330"/>
    </w:tblGrid>
    <w:tr w:rsidR="005B7632">
      <w:trPr>
        <w:cantSplit/>
        <w:trHeight w:val="540"/>
      </w:trPr>
      <w:tc>
        <w:tcPr>
          <w:tcW w:w="1350" w:type="dxa"/>
          <w:tcBorders>
            <w:bottom w:val="single" w:sz="6" w:space="0" w:color="auto"/>
          </w:tcBorders>
        </w:tcPr>
        <w:p w:rsidR="005B7632" w:rsidRDefault="005B7632">
          <w:pPr>
            <w:spacing w:before="240"/>
            <w:rPr>
              <w:sz w:val="22"/>
              <w:lang w:val="ru-RU"/>
            </w:rPr>
          </w:pPr>
        </w:p>
      </w:tc>
      <w:tc>
        <w:tcPr>
          <w:tcW w:w="5220" w:type="dxa"/>
          <w:tcBorders>
            <w:bottom w:val="single" w:sz="6" w:space="0" w:color="auto"/>
          </w:tcBorders>
        </w:tcPr>
        <w:p w:rsidR="005B7632" w:rsidRDefault="005B7632">
          <w:pPr>
            <w:pStyle w:val="Heading2"/>
            <w:spacing w:before="240"/>
            <w:rPr>
              <w:sz w:val="28"/>
              <w:lang w:val="ru-RU"/>
            </w:rPr>
          </w:pPr>
          <w:r>
            <w:rPr>
              <w:sz w:val="28"/>
              <w:lang w:val="ru-RU"/>
            </w:rPr>
            <w:t>Организация Объединенных Наций</w:t>
          </w:r>
        </w:p>
      </w:tc>
      <w:tc>
        <w:tcPr>
          <w:tcW w:w="3330" w:type="dxa"/>
          <w:tcBorders>
            <w:bottom w:val="single" w:sz="6" w:space="0" w:color="auto"/>
          </w:tcBorders>
        </w:tcPr>
        <w:p w:rsidR="005B7632" w:rsidRPr="00357B6E" w:rsidRDefault="005B7632" w:rsidP="00280217">
          <w:pPr>
            <w:spacing w:before="120"/>
            <w:jc w:val="right"/>
          </w:pPr>
          <w:r>
            <w:rPr>
              <w:bCs/>
              <w:sz w:val="40"/>
              <w:lang w:val="ru-RU"/>
            </w:rPr>
            <w:t>A</w:t>
          </w:r>
          <w:r>
            <w:rPr>
              <w:sz w:val="20"/>
              <w:szCs w:val="20"/>
              <w:lang w:val="ru-RU"/>
            </w:rPr>
            <w:t>/RES/</w:t>
          </w:r>
          <w:r w:rsidR="00280217">
            <w:rPr>
              <w:sz w:val="20"/>
              <w:szCs w:val="20"/>
            </w:rPr>
            <w:t>71/242</w:t>
          </w:r>
        </w:p>
      </w:tc>
    </w:tr>
    <w:tr w:rsidR="005B7632">
      <w:trPr>
        <w:trHeight w:val="1988"/>
      </w:trPr>
      <w:tc>
        <w:tcPr>
          <w:tcW w:w="135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5B7632" w:rsidRDefault="00280217">
          <w:pPr>
            <w:rPr>
              <w:lang w:val="ru-RU"/>
            </w:rPr>
          </w:pPr>
          <w:r>
            <w:rPr>
              <w:noProof/>
              <w:lang w:eastAsia="en-US"/>
            </w:rPr>
            <w:drawing>
              <wp:inline distT="0" distB="0" distL="0" distR="0" wp14:anchorId="73CA320D" wp14:editId="2EEF1E46">
                <wp:extent cx="729615" cy="622300"/>
                <wp:effectExtent l="0" t="0" r="0" b="6350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5B7632" w:rsidRDefault="005B7632">
          <w:pPr>
            <w:pStyle w:val="Heading3"/>
            <w:rPr>
              <w:b/>
              <w:lang w:val="ru-RU"/>
            </w:rPr>
          </w:pPr>
          <w:r>
            <w:rPr>
              <w:b/>
              <w:lang w:val="ru-RU"/>
            </w:rPr>
            <w:t>Генеральная Ассамблея</w:t>
          </w:r>
        </w:p>
      </w:tc>
      <w:tc>
        <w:tcPr>
          <w:tcW w:w="333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5B7632" w:rsidRPr="008A077A" w:rsidRDefault="005B7632">
          <w:pPr>
            <w:jc w:val="right"/>
            <w:rPr>
              <w:sz w:val="20"/>
              <w:szCs w:val="20"/>
              <w:lang w:val="ru-RU"/>
            </w:rPr>
          </w:pPr>
          <w:r w:rsidRPr="008A077A">
            <w:rPr>
              <w:sz w:val="20"/>
              <w:szCs w:val="20"/>
              <w:lang w:val="ru-RU"/>
            </w:rPr>
            <w:t>Distr.: General</w:t>
          </w:r>
        </w:p>
        <w:p w:rsidR="005B7632" w:rsidRPr="00333224" w:rsidRDefault="00333224" w:rsidP="00333224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 February 2017</w:t>
          </w:r>
        </w:p>
      </w:tc>
    </w:tr>
    <w:tr w:rsidR="005B7632" w:rsidRPr="00333224">
      <w:trPr>
        <w:cantSplit/>
        <w:trHeight w:val="542"/>
      </w:trPr>
      <w:tc>
        <w:tcPr>
          <w:tcW w:w="9900" w:type="dxa"/>
          <w:gridSpan w:val="3"/>
          <w:tcBorders>
            <w:top w:val="single" w:sz="12" w:space="0" w:color="auto"/>
          </w:tcBorders>
          <w:vAlign w:val="bottom"/>
        </w:tcPr>
        <w:p w:rsidR="005B7632" w:rsidRPr="008A077A" w:rsidRDefault="00C0704D" w:rsidP="006B3887">
          <w:pPr>
            <w:pStyle w:val="Heading4"/>
            <w:rPr>
              <w:sz w:val="20"/>
              <w:lang w:val="ru-RU"/>
            </w:rPr>
          </w:pPr>
          <w:r>
            <w:rPr>
              <w:sz w:val="20"/>
              <w:lang w:val="ru-RU"/>
            </w:rPr>
            <w:t>Сем</w:t>
          </w:r>
          <w:r w:rsidR="00254AF6">
            <w:rPr>
              <w:sz w:val="20"/>
              <w:lang w:val="ru-RU"/>
            </w:rPr>
            <w:t>ьдесят перв</w:t>
          </w:r>
          <w:r>
            <w:rPr>
              <w:sz w:val="20"/>
              <w:lang w:val="ru-RU"/>
            </w:rPr>
            <w:t>ая</w:t>
          </w:r>
          <w:r w:rsidR="005B7632">
            <w:rPr>
              <w:sz w:val="20"/>
              <w:lang w:val="ru-RU"/>
            </w:rPr>
            <w:t xml:space="preserve"> </w:t>
          </w:r>
          <w:r w:rsidR="005B7632" w:rsidRPr="008A077A">
            <w:rPr>
              <w:sz w:val="20"/>
              <w:lang w:val="ru-RU"/>
            </w:rPr>
            <w:t>сессия</w:t>
          </w:r>
        </w:p>
        <w:p w:rsidR="005B7632" w:rsidRPr="008A077A" w:rsidRDefault="005B7632">
          <w:pPr>
            <w:rPr>
              <w:sz w:val="20"/>
              <w:szCs w:val="20"/>
              <w:lang w:val="ru-RU"/>
            </w:rPr>
          </w:pPr>
          <w:r w:rsidRPr="008A077A">
            <w:rPr>
              <w:sz w:val="20"/>
              <w:szCs w:val="20"/>
              <w:lang w:val="ru-RU"/>
            </w:rPr>
            <w:t xml:space="preserve">Пункт </w:t>
          </w:r>
          <w:r w:rsidR="00280217">
            <w:rPr>
              <w:sz w:val="20"/>
              <w:szCs w:val="20"/>
              <w:lang w:val="ru-RU"/>
            </w:rPr>
            <w:t xml:space="preserve">23 </w:t>
          </w:r>
          <w:r w:rsidR="00280217" w:rsidRPr="00C43F98">
            <w:rPr>
              <w:i/>
              <w:sz w:val="20"/>
              <w:szCs w:val="20"/>
              <w:lang w:val="ru-RU"/>
            </w:rPr>
            <w:t>b</w:t>
          </w:r>
          <w:r w:rsidRPr="008A077A">
            <w:rPr>
              <w:sz w:val="20"/>
              <w:szCs w:val="20"/>
              <w:lang w:val="ru-RU"/>
            </w:rPr>
            <w:t xml:space="preserve"> повестки дня </w:t>
          </w:r>
        </w:p>
      </w:tc>
    </w:tr>
  </w:tbl>
  <w:p w:rsidR="005B7632" w:rsidRDefault="005B7632">
    <w:pPr>
      <w:pStyle w:val="Header"/>
      <w:rPr>
        <w:sz w:val="16"/>
        <w:vertAlign w:val="superscript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330"/>
    </w:tblGrid>
    <w:tr w:rsidR="003A5C7B" w:rsidRPr="00333224" w:rsidTr="00F55F81">
      <w:trPr>
        <w:trHeight w:val="720"/>
      </w:trPr>
      <w:tc>
        <w:tcPr>
          <w:tcW w:w="2520" w:type="dxa"/>
          <w:shd w:val="clear" w:color="auto" w:fill="auto"/>
          <w:vAlign w:val="bottom"/>
        </w:tcPr>
        <w:p w:rsidR="003A5C7B" w:rsidRPr="00F55F81" w:rsidRDefault="00280217" w:rsidP="00F55F81">
          <w:pPr>
            <w:pStyle w:val="Header"/>
            <w:spacing w:after="40"/>
            <w:rPr>
              <w:b/>
              <w:sz w:val="18"/>
            </w:rPr>
          </w:pPr>
          <w:r>
            <w:rPr>
              <w:b/>
              <w:sz w:val="18"/>
            </w:rPr>
            <w:t>A/RES/71/242</w:t>
          </w:r>
        </w:p>
      </w:tc>
      <w:tc>
        <w:tcPr>
          <w:tcW w:w="7330" w:type="dxa"/>
          <w:shd w:val="clear" w:color="auto" w:fill="auto"/>
          <w:vAlign w:val="bottom"/>
        </w:tcPr>
        <w:p w:rsidR="003A5C7B" w:rsidRPr="00333224" w:rsidRDefault="00C43F98" w:rsidP="00F55F81">
          <w:pPr>
            <w:pStyle w:val="Header"/>
            <w:spacing w:after="40"/>
            <w:jc w:val="right"/>
            <w:rPr>
              <w:b/>
              <w:sz w:val="18"/>
              <w:lang w:val="ru-RU"/>
            </w:rPr>
          </w:pPr>
          <w:r w:rsidRPr="00C43F98">
            <w:rPr>
              <w:b/>
              <w:sz w:val="18"/>
              <w:lang w:val="ru-RU"/>
            </w:rPr>
            <w:t>Сотрудничество в области промышленного развития</w:t>
          </w:r>
        </w:p>
      </w:tc>
    </w:tr>
  </w:tbl>
  <w:p w:rsidR="005B7632" w:rsidRPr="00333224" w:rsidRDefault="005B7632" w:rsidP="003A5C7B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2" w:type="dxa"/>
      <w:tblBorders>
        <w:bottom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30"/>
      <w:gridCol w:w="2552"/>
    </w:tblGrid>
    <w:tr w:rsidR="003A5C7B" w:rsidRPr="00F55F81" w:rsidTr="00F55F81">
      <w:trPr>
        <w:trHeight w:val="720"/>
      </w:trPr>
      <w:tc>
        <w:tcPr>
          <w:tcW w:w="7330" w:type="dxa"/>
          <w:shd w:val="clear" w:color="auto" w:fill="auto"/>
          <w:vAlign w:val="bottom"/>
        </w:tcPr>
        <w:p w:rsidR="003A5C7B" w:rsidRPr="00333224" w:rsidRDefault="00C43F98" w:rsidP="00F55F81">
          <w:pPr>
            <w:pStyle w:val="Header"/>
            <w:spacing w:after="40"/>
            <w:rPr>
              <w:b/>
              <w:sz w:val="18"/>
              <w:lang w:val="ru-RU"/>
            </w:rPr>
          </w:pPr>
          <w:r w:rsidRPr="00C43F98">
            <w:rPr>
              <w:b/>
              <w:sz w:val="18"/>
              <w:lang w:val="ru-RU"/>
            </w:rPr>
            <w:t>Сотрудничество в области промышленного развития</w:t>
          </w:r>
        </w:p>
      </w:tc>
      <w:tc>
        <w:tcPr>
          <w:tcW w:w="2552" w:type="dxa"/>
          <w:shd w:val="clear" w:color="auto" w:fill="auto"/>
          <w:vAlign w:val="bottom"/>
        </w:tcPr>
        <w:p w:rsidR="003A5C7B" w:rsidRPr="00F55F81" w:rsidRDefault="00280217" w:rsidP="00F55F81">
          <w:pPr>
            <w:pStyle w:val="Header"/>
            <w:spacing w:after="40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A/RES/71/242</w:t>
          </w:r>
        </w:p>
      </w:tc>
    </w:tr>
  </w:tbl>
  <w:p w:rsidR="005B7632" w:rsidRPr="003A5C7B" w:rsidRDefault="005B7632" w:rsidP="003A5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2825*"/>
    <w:docVar w:name="jobn" w:val="16-22825 (R)"/>
    <w:docVar w:name="JobNo" w:val="1622825R"/>
    <w:docVar w:name="ODSRefJobNo" w:val="1646155R"/>
    <w:docVar w:name="sss1" w:val="A/RES/71/242"/>
    <w:docVar w:name="sss2" w:val="-"/>
  </w:docVars>
  <w:rsids>
    <w:rsidRoot w:val="00280217"/>
    <w:rsid w:val="00013F69"/>
    <w:rsid w:val="000401A7"/>
    <w:rsid w:val="000427CA"/>
    <w:rsid w:val="00042CCF"/>
    <w:rsid w:val="00044C5E"/>
    <w:rsid w:val="00047AAB"/>
    <w:rsid w:val="00050108"/>
    <w:rsid w:val="00055A28"/>
    <w:rsid w:val="000839E9"/>
    <w:rsid w:val="00087CCB"/>
    <w:rsid w:val="000C50A9"/>
    <w:rsid w:val="000E1ACA"/>
    <w:rsid w:val="000E7201"/>
    <w:rsid w:val="000F7C38"/>
    <w:rsid w:val="00102997"/>
    <w:rsid w:val="00104589"/>
    <w:rsid w:val="00110413"/>
    <w:rsid w:val="00115912"/>
    <w:rsid w:val="0012471D"/>
    <w:rsid w:val="001645A7"/>
    <w:rsid w:val="00166F6C"/>
    <w:rsid w:val="00181EAE"/>
    <w:rsid w:val="00193FD5"/>
    <w:rsid w:val="001B0004"/>
    <w:rsid w:val="001B344D"/>
    <w:rsid w:val="001C2BBE"/>
    <w:rsid w:val="001C2E93"/>
    <w:rsid w:val="001F5579"/>
    <w:rsid w:val="00210984"/>
    <w:rsid w:val="002121FE"/>
    <w:rsid w:val="00221C82"/>
    <w:rsid w:val="00251914"/>
    <w:rsid w:val="00254AF6"/>
    <w:rsid w:val="00264FB6"/>
    <w:rsid w:val="00266339"/>
    <w:rsid w:val="00280217"/>
    <w:rsid w:val="002841F6"/>
    <w:rsid w:val="0029318F"/>
    <w:rsid w:val="002A6AC7"/>
    <w:rsid w:val="002B6534"/>
    <w:rsid w:val="002E493A"/>
    <w:rsid w:val="003040CA"/>
    <w:rsid w:val="003069C7"/>
    <w:rsid w:val="0031045A"/>
    <w:rsid w:val="00310B66"/>
    <w:rsid w:val="00331C96"/>
    <w:rsid w:val="00333224"/>
    <w:rsid w:val="0033743D"/>
    <w:rsid w:val="00344983"/>
    <w:rsid w:val="00357B6E"/>
    <w:rsid w:val="00362A89"/>
    <w:rsid w:val="003671D0"/>
    <w:rsid w:val="0037631F"/>
    <w:rsid w:val="00382A27"/>
    <w:rsid w:val="003A5C7B"/>
    <w:rsid w:val="003B4FE0"/>
    <w:rsid w:val="003C3840"/>
    <w:rsid w:val="003C4375"/>
    <w:rsid w:val="00402152"/>
    <w:rsid w:val="00410DBD"/>
    <w:rsid w:val="00450A08"/>
    <w:rsid w:val="00472433"/>
    <w:rsid w:val="004C4B19"/>
    <w:rsid w:val="004E5783"/>
    <w:rsid w:val="00516512"/>
    <w:rsid w:val="005641B9"/>
    <w:rsid w:val="005753C8"/>
    <w:rsid w:val="00591808"/>
    <w:rsid w:val="00591C3D"/>
    <w:rsid w:val="0059413F"/>
    <w:rsid w:val="005962E8"/>
    <w:rsid w:val="00596843"/>
    <w:rsid w:val="005B5CAF"/>
    <w:rsid w:val="005B7632"/>
    <w:rsid w:val="005C6F05"/>
    <w:rsid w:val="005D73C1"/>
    <w:rsid w:val="005E0B53"/>
    <w:rsid w:val="005E19CF"/>
    <w:rsid w:val="005E4D0C"/>
    <w:rsid w:val="005F0C9F"/>
    <w:rsid w:val="005F2998"/>
    <w:rsid w:val="00640277"/>
    <w:rsid w:val="00647315"/>
    <w:rsid w:val="00660783"/>
    <w:rsid w:val="0067637A"/>
    <w:rsid w:val="00684B7A"/>
    <w:rsid w:val="006B1703"/>
    <w:rsid w:val="006B3887"/>
    <w:rsid w:val="006C35FB"/>
    <w:rsid w:val="006C3738"/>
    <w:rsid w:val="006D1FC7"/>
    <w:rsid w:val="006E6ECE"/>
    <w:rsid w:val="006E7D11"/>
    <w:rsid w:val="00710F61"/>
    <w:rsid w:val="00721C9C"/>
    <w:rsid w:val="007346D4"/>
    <w:rsid w:val="00762410"/>
    <w:rsid w:val="00775472"/>
    <w:rsid w:val="00777552"/>
    <w:rsid w:val="00785894"/>
    <w:rsid w:val="00790163"/>
    <w:rsid w:val="00793340"/>
    <w:rsid w:val="00797A8A"/>
    <w:rsid w:val="007B0625"/>
    <w:rsid w:val="007B699F"/>
    <w:rsid w:val="007E7D35"/>
    <w:rsid w:val="007F5747"/>
    <w:rsid w:val="00807E13"/>
    <w:rsid w:val="00815CE6"/>
    <w:rsid w:val="00820015"/>
    <w:rsid w:val="008352F8"/>
    <w:rsid w:val="008452A1"/>
    <w:rsid w:val="00847DA7"/>
    <w:rsid w:val="008534E9"/>
    <w:rsid w:val="00867C88"/>
    <w:rsid w:val="008939A0"/>
    <w:rsid w:val="008A077A"/>
    <w:rsid w:val="008B3627"/>
    <w:rsid w:val="008D09C8"/>
    <w:rsid w:val="008E4FB7"/>
    <w:rsid w:val="008F1884"/>
    <w:rsid w:val="008F5F3B"/>
    <w:rsid w:val="00907572"/>
    <w:rsid w:val="0092780A"/>
    <w:rsid w:val="00930A37"/>
    <w:rsid w:val="00937925"/>
    <w:rsid w:val="00947A44"/>
    <w:rsid w:val="00953FD1"/>
    <w:rsid w:val="009859DA"/>
    <w:rsid w:val="00994133"/>
    <w:rsid w:val="009A7402"/>
    <w:rsid w:val="009B5387"/>
    <w:rsid w:val="009C397E"/>
    <w:rsid w:val="009E30D5"/>
    <w:rsid w:val="00A05D63"/>
    <w:rsid w:val="00A16036"/>
    <w:rsid w:val="00A170A9"/>
    <w:rsid w:val="00A35472"/>
    <w:rsid w:val="00A402CB"/>
    <w:rsid w:val="00A469D9"/>
    <w:rsid w:val="00A61181"/>
    <w:rsid w:val="00AA56FA"/>
    <w:rsid w:val="00AF1E78"/>
    <w:rsid w:val="00AF28EF"/>
    <w:rsid w:val="00B275D6"/>
    <w:rsid w:val="00B50416"/>
    <w:rsid w:val="00B54DCE"/>
    <w:rsid w:val="00B57761"/>
    <w:rsid w:val="00B70BF9"/>
    <w:rsid w:val="00B834A9"/>
    <w:rsid w:val="00BB386F"/>
    <w:rsid w:val="00BB46DC"/>
    <w:rsid w:val="00BC74DA"/>
    <w:rsid w:val="00BE3D16"/>
    <w:rsid w:val="00BF3A83"/>
    <w:rsid w:val="00C0278E"/>
    <w:rsid w:val="00C04230"/>
    <w:rsid w:val="00C0704D"/>
    <w:rsid w:val="00C14112"/>
    <w:rsid w:val="00C16AF7"/>
    <w:rsid w:val="00C25B7A"/>
    <w:rsid w:val="00C3135F"/>
    <w:rsid w:val="00C32BDC"/>
    <w:rsid w:val="00C43F98"/>
    <w:rsid w:val="00C53058"/>
    <w:rsid w:val="00C94E64"/>
    <w:rsid w:val="00CA4D36"/>
    <w:rsid w:val="00CD7E19"/>
    <w:rsid w:val="00CE5E7E"/>
    <w:rsid w:val="00CF30F7"/>
    <w:rsid w:val="00CF33B1"/>
    <w:rsid w:val="00CF6A10"/>
    <w:rsid w:val="00D0399B"/>
    <w:rsid w:val="00D26C01"/>
    <w:rsid w:val="00D47704"/>
    <w:rsid w:val="00D51530"/>
    <w:rsid w:val="00D55AB9"/>
    <w:rsid w:val="00D605A8"/>
    <w:rsid w:val="00D702B4"/>
    <w:rsid w:val="00D727C8"/>
    <w:rsid w:val="00D75B05"/>
    <w:rsid w:val="00DE68D0"/>
    <w:rsid w:val="00E028DA"/>
    <w:rsid w:val="00E312A5"/>
    <w:rsid w:val="00E33D95"/>
    <w:rsid w:val="00E72D64"/>
    <w:rsid w:val="00E776F6"/>
    <w:rsid w:val="00E87828"/>
    <w:rsid w:val="00E95EB5"/>
    <w:rsid w:val="00EB09CF"/>
    <w:rsid w:val="00EB1FBA"/>
    <w:rsid w:val="00EF436A"/>
    <w:rsid w:val="00EF49E8"/>
    <w:rsid w:val="00F24A1C"/>
    <w:rsid w:val="00F411C5"/>
    <w:rsid w:val="00F55F81"/>
    <w:rsid w:val="00F76192"/>
    <w:rsid w:val="00F92F24"/>
    <w:rsid w:val="00FB0874"/>
    <w:rsid w:val="00FD13AE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B09CF"/>
    <w:pPr>
      <w:keepNext/>
      <w:jc w:val="both"/>
      <w:outlineLvl w:val="0"/>
    </w:pPr>
    <w:rPr>
      <w:rFonts w:eastAsia="Times New Roman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EB09CF"/>
    <w:pPr>
      <w:keepNext/>
      <w:outlineLvl w:val="1"/>
    </w:pPr>
    <w:rPr>
      <w:rFonts w:eastAsia="Times New Roman"/>
      <w:szCs w:val="20"/>
      <w:lang w:val="fr-FR" w:eastAsia="en-US"/>
    </w:rPr>
  </w:style>
  <w:style w:type="paragraph" w:styleId="Heading3">
    <w:name w:val="heading 3"/>
    <w:basedOn w:val="Normal"/>
    <w:next w:val="Normal"/>
    <w:qFormat/>
    <w:rsid w:val="00EB09CF"/>
    <w:pPr>
      <w:keepNext/>
      <w:outlineLvl w:val="2"/>
    </w:pPr>
    <w:rPr>
      <w:rFonts w:eastAsia="Times New Roman"/>
      <w:sz w:val="40"/>
      <w:szCs w:val="20"/>
      <w:lang w:val="fr-FR" w:eastAsia="en-US"/>
    </w:rPr>
  </w:style>
  <w:style w:type="paragraph" w:styleId="Heading4">
    <w:name w:val="heading 4"/>
    <w:basedOn w:val="Normal"/>
    <w:next w:val="Normal"/>
    <w:qFormat/>
    <w:rsid w:val="00EB09CF"/>
    <w:pPr>
      <w:keepNext/>
      <w:outlineLvl w:val="3"/>
    </w:pPr>
    <w:rPr>
      <w:rFonts w:eastAsia="Times New Roman"/>
      <w:b/>
      <w:sz w:val="22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9CF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rsid w:val="00EB09CF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semiHidden/>
    <w:rsid w:val="00EB09CF"/>
    <w:rPr>
      <w:sz w:val="16"/>
    </w:rPr>
  </w:style>
  <w:style w:type="paragraph" w:styleId="CommentText">
    <w:name w:val="annotation text"/>
    <w:basedOn w:val="Normal"/>
    <w:link w:val="CommentTextChar"/>
    <w:semiHidden/>
    <w:rsid w:val="00EB09CF"/>
    <w:rPr>
      <w:rFonts w:eastAsia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EB09CF"/>
  </w:style>
  <w:style w:type="paragraph" w:customStyle="1" w:styleId="SingleTxt">
    <w:name w:val="__Single Txt"/>
    <w:basedOn w:val="Normal"/>
    <w:rsid w:val="00EB09C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  <w:lang w:val="fr-CA" w:eastAsia="en-US"/>
    </w:rPr>
  </w:style>
  <w:style w:type="paragraph" w:styleId="BalloonText">
    <w:name w:val="Balloon Text"/>
    <w:basedOn w:val="Normal"/>
    <w:semiHidden/>
    <w:rsid w:val="00EB0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493A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C43F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3F98"/>
    <w:rPr>
      <w:lang w:eastAsia="zh-CN"/>
    </w:rPr>
  </w:style>
  <w:style w:type="character" w:styleId="FootnoteReference">
    <w:name w:val="footnote reference"/>
    <w:basedOn w:val="DefaultParagraphFont"/>
    <w:uiPriority w:val="1"/>
    <w:rsid w:val="00C43F9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Hyperlink">
    <w:name w:val="Hyperlink"/>
    <w:basedOn w:val="DefaultParagraphFont"/>
    <w:rsid w:val="00C43F98"/>
    <w:rPr>
      <w:color w:val="0000FF"/>
      <w:u w:val="none"/>
    </w:rPr>
  </w:style>
  <w:style w:type="paragraph" w:customStyle="1" w:styleId="H1">
    <w:name w:val="_ H_1"/>
    <w:basedOn w:val="Normal"/>
    <w:next w:val="SingleTxt"/>
    <w:qFormat/>
    <w:rsid w:val="00C43F98"/>
    <w:pPr>
      <w:suppressAutoHyphens/>
      <w:spacing w:line="270" w:lineRule="exact"/>
      <w:outlineLvl w:val="0"/>
    </w:pPr>
    <w:rPr>
      <w:rFonts w:eastAsiaTheme="minorHAnsi"/>
      <w:b/>
      <w:spacing w:val="4"/>
      <w:w w:val="103"/>
      <w:kern w:val="14"/>
      <w:szCs w:val="22"/>
      <w:lang w:val="ru-RU" w:eastAsia="en-US"/>
    </w:rPr>
  </w:style>
  <w:style w:type="character" w:styleId="FollowedHyperlink">
    <w:name w:val="FollowedHyperlink"/>
    <w:basedOn w:val="DefaultParagraphFont"/>
    <w:rsid w:val="00EF49E8"/>
    <w:rPr>
      <w:color w:val="0000FF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EF49E8"/>
    <w:rPr>
      <w:rFonts w:eastAsia="SimSun"/>
      <w:b/>
      <w:bCs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F49E8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rsid w:val="00EF49E8"/>
    <w:rPr>
      <w:rFonts w:eastAsia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B09CF"/>
    <w:pPr>
      <w:keepNext/>
      <w:jc w:val="both"/>
      <w:outlineLvl w:val="0"/>
    </w:pPr>
    <w:rPr>
      <w:rFonts w:eastAsia="Times New Roman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EB09CF"/>
    <w:pPr>
      <w:keepNext/>
      <w:outlineLvl w:val="1"/>
    </w:pPr>
    <w:rPr>
      <w:rFonts w:eastAsia="Times New Roman"/>
      <w:szCs w:val="20"/>
      <w:lang w:val="fr-FR" w:eastAsia="en-US"/>
    </w:rPr>
  </w:style>
  <w:style w:type="paragraph" w:styleId="Heading3">
    <w:name w:val="heading 3"/>
    <w:basedOn w:val="Normal"/>
    <w:next w:val="Normal"/>
    <w:qFormat/>
    <w:rsid w:val="00EB09CF"/>
    <w:pPr>
      <w:keepNext/>
      <w:outlineLvl w:val="2"/>
    </w:pPr>
    <w:rPr>
      <w:rFonts w:eastAsia="Times New Roman"/>
      <w:sz w:val="40"/>
      <w:szCs w:val="20"/>
      <w:lang w:val="fr-FR" w:eastAsia="en-US"/>
    </w:rPr>
  </w:style>
  <w:style w:type="paragraph" w:styleId="Heading4">
    <w:name w:val="heading 4"/>
    <w:basedOn w:val="Normal"/>
    <w:next w:val="Normal"/>
    <w:qFormat/>
    <w:rsid w:val="00EB09CF"/>
    <w:pPr>
      <w:keepNext/>
      <w:outlineLvl w:val="3"/>
    </w:pPr>
    <w:rPr>
      <w:rFonts w:eastAsia="Times New Roman"/>
      <w:b/>
      <w:sz w:val="22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9CF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rsid w:val="00EB09CF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semiHidden/>
    <w:rsid w:val="00EB09CF"/>
    <w:rPr>
      <w:sz w:val="16"/>
    </w:rPr>
  </w:style>
  <w:style w:type="paragraph" w:styleId="CommentText">
    <w:name w:val="annotation text"/>
    <w:basedOn w:val="Normal"/>
    <w:link w:val="CommentTextChar"/>
    <w:semiHidden/>
    <w:rsid w:val="00EB09CF"/>
    <w:rPr>
      <w:rFonts w:eastAsia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EB09CF"/>
  </w:style>
  <w:style w:type="paragraph" w:customStyle="1" w:styleId="SingleTxt">
    <w:name w:val="__Single Txt"/>
    <w:basedOn w:val="Normal"/>
    <w:rsid w:val="00EB09C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  <w:lang w:val="fr-CA" w:eastAsia="en-US"/>
    </w:rPr>
  </w:style>
  <w:style w:type="paragraph" w:styleId="BalloonText">
    <w:name w:val="Balloon Text"/>
    <w:basedOn w:val="Normal"/>
    <w:semiHidden/>
    <w:rsid w:val="00EB0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493A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C43F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3F98"/>
    <w:rPr>
      <w:lang w:eastAsia="zh-CN"/>
    </w:rPr>
  </w:style>
  <w:style w:type="character" w:styleId="FootnoteReference">
    <w:name w:val="footnote reference"/>
    <w:basedOn w:val="DefaultParagraphFont"/>
    <w:uiPriority w:val="1"/>
    <w:rsid w:val="00C43F9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Hyperlink">
    <w:name w:val="Hyperlink"/>
    <w:basedOn w:val="DefaultParagraphFont"/>
    <w:rsid w:val="00C43F98"/>
    <w:rPr>
      <w:color w:val="0000FF"/>
      <w:u w:val="none"/>
    </w:rPr>
  </w:style>
  <w:style w:type="paragraph" w:customStyle="1" w:styleId="H1">
    <w:name w:val="_ H_1"/>
    <w:basedOn w:val="Normal"/>
    <w:next w:val="SingleTxt"/>
    <w:qFormat/>
    <w:rsid w:val="00C43F98"/>
    <w:pPr>
      <w:suppressAutoHyphens/>
      <w:spacing w:line="270" w:lineRule="exact"/>
      <w:outlineLvl w:val="0"/>
    </w:pPr>
    <w:rPr>
      <w:rFonts w:eastAsiaTheme="minorHAnsi"/>
      <w:b/>
      <w:spacing w:val="4"/>
      <w:w w:val="103"/>
      <w:kern w:val="14"/>
      <w:szCs w:val="22"/>
      <w:lang w:val="ru-RU" w:eastAsia="en-US"/>
    </w:rPr>
  </w:style>
  <w:style w:type="character" w:styleId="FollowedHyperlink">
    <w:name w:val="FollowedHyperlink"/>
    <w:basedOn w:val="DefaultParagraphFont"/>
    <w:rsid w:val="00EF49E8"/>
    <w:rPr>
      <w:color w:val="0000FF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EF49E8"/>
    <w:rPr>
      <w:rFonts w:eastAsia="SimSun"/>
      <w:b/>
      <w:bCs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F49E8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rsid w:val="00EF49E8"/>
    <w:rPr>
      <w:rFonts w:eastAsia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undocs.org/ru/A/71/467/Add.2" TargetMode="External"/><Relationship Id="rId18" Type="http://schemas.openxmlformats.org/officeDocument/2006/relationships/hyperlink" Target="http://undocs.org/ru/A/RES/55/187" TargetMode="External"/><Relationship Id="rId26" Type="http://schemas.openxmlformats.org/officeDocument/2006/relationships/hyperlink" Target="http://undocs.org/ru/A/RES/70/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ndocs.org/ru/A/RES/61/215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undocs.org/ru/A/RES/53/177" TargetMode="External"/><Relationship Id="rId25" Type="http://schemas.openxmlformats.org/officeDocument/2006/relationships/hyperlink" Target="http://undocs.org/ru/A/RES/69/235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undocs.org/ru/A/RES/51/170" TargetMode="External"/><Relationship Id="rId20" Type="http://schemas.openxmlformats.org/officeDocument/2006/relationships/hyperlink" Target="http://undocs.org/ru/A/RES/59/249" TargetMode="External"/><Relationship Id="rId29" Type="http://schemas.openxmlformats.org/officeDocument/2006/relationships/hyperlink" Target="http://undocs.org/ru/A/RES/69/3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undocs.org/ru/A/RES/67/225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ru/A/RES/49/108" TargetMode="External"/><Relationship Id="rId23" Type="http://schemas.openxmlformats.org/officeDocument/2006/relationships/hyperlink" Target="http://undocs.org/ru/A/RES/65/175" TargetMode="External"/><Relationship Id="rId28" Type="http://schemas.openxmlformats.org/officeDocument/2006/relationships/hyperlink" Target="http://undocs.org/ru/A/RES/70/293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undocs.org/ru/A/RES/57/243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A/RES/71/242" TargetMode="External"/><Relationship Id="rId22" Type="http://schemas.openxmlformats.org/officeDocument/2006/relationships/hyperlink" Target="http://undocs.org/ru/A/RES/63/231" TargetMode="External"/><Relationship Id="rId27" Type="http://schemas.openxmlformats.org/officeDocument/2006/relationships/hyperlink" Target="http://undocs.org/ru/A/RES/69/313" TargetMode="External"/><Relationship Id="rId30" Type="http://schemas.openxmlformats.org/officeDocument/2006/relationships/hyperlink" Target="http://undocs.org/ru/A/RES/70/1" TargetMode="Externa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A/RES/69/313" TargetMode="External"/><Relationship Id="rId3" Type="http://schemas.openxmlformats.org/officeDocument/2006/relationships/hyperlink" Target="http://undocs.org/ru/A/CONF.219/7" TargetMode="External"/><Relationship Id="rId7" Type="http://schemas.openxmlformats.org/officeDocument/2006/relationships/hyperlink" Target="http://undocs.org/ru/A/RES/70/1" TargetMode="External"/><Relationship Id="rId2" Type="http://schemas.openxmlformats.org/officeDocument/2006/relationships/hyperlink" Target="http://undocs.org/ru/TD/519/Add.1" TargetMode="External"/><Relationship Id="rId1" Type="http://schemas.openxmlformats.org/officeDocument/2006/relationships/hyperlink" Target="http://undocs.org/ru/FCCC/CP/2015/10/Add.1" TargetMode="External"/><Relationship Id="rId6" Type="http://schemas.openxmlformats.org/officeDocument/2006/relationships/hyperlink" Target="http://undocs.org/ru/A/RES/71/264" TargetMode="External"/><Relationship Id="rId5" Type="http://schemas.openxmlformats.org/officeDocument/2006/relationships/hyperlink" Target="http://undocs.org/ru/A/RES/69/137" TargetMode="External"/><Relationship Id="rId10" Type="http://schemas.openxmlformats.org/officeDocument/2006/relationships/hyperlink" Target="http://undocs.org/ru/A/57/304" TargetMode="External"/><Relationship Id="rId4" Type="http://schemas.openxmlformats.org/officeDocument/2006/relationships/hyperlink" Target="http://undocs.org/ru/A/RES/69/15" TargetMode="External"/><Relationship Id="rId9" Type="http://schemas.openxmlformats.org/officeDocument/2006/relationships/hyperlink" Target="http://undocs.org/ru/A/RES/71/3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2010\DocTemplates\Russian_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D065-72EA-4A80-A220-4236EAAF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Russian_RES</Template>
  <TotalTime>1</TotalTime>
  <Pages>11</Pages>
  <Words>3809</Words>
  <Characters>28118</Characters>
  <Application>Microsoft Office Word</Application>
  <DocSecurity>0</DocSecurity>
  <Lines>739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</Company>
  <LinksUpToDate>false</LinksUpToDate>
  <CharactersWithSpaces>31730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Griaznova</dc:creator>
  <cp:lastModifiedBy>Test</cp:lastModifiedBy>
  <cp:revision>3</cp:revision>
  <cp:lastPrinted>2017-02-02T20:08:00Z</cp:lastPrinted>
  <dcterms:created xsi:type="dcterms:W3CDTF">2017-02-02T20:08:00Z</dcterms:created>
  <dcterms:modified xsi:type="dcterms:W3CDTF">2017-02-02T20:09:00Z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1622825R</vt:lpwstr>
  </property>
  <property fmtid="{D5CDD505-2E9C-101B-9397-08002B2CF9AE}" pid="3" name="ODSRefJobNo">
    <vt:lpwstr>1646155R</vt:lpwstr>
  </property>
  <property fmtid="{D5CDD505-2E9C-101B-9397-08002B2CF9AE}" pid="4" name="Symbol1">
    <vt:lpwstr>A/RES/71/242</vt:lpwstr>
  </property>
  <property fmtid="{D5CDD505-2E9C-101B-9397-08002B2CF9AE}" pid="5" name="Symbol2">
    <vt:lpwstr/>
  </property>
</Properties>
</file>