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0E" w:rsidRPr="0007648C" w:rsidRDefault="005A190E" w:rsidP="005A190E">
      <w:pPr>
        <w:spacing w:line="20" w:lineRule="exact"/>
        <w:jc w:val="both"/>
        <w:outlineLvl w:val="0"/>
        <w:rPr>
          <w:b/>
          <w:sz w:val="2"/>
          <w:lang w:val="fr-FR" w:eastAsia="zh-CN"/>
        </w:rPr>
      </w:pPr>
      <w:r>
        <w:rPr>
          <w:rStyle w:val="CommentReference"/>
        </w:rPr>
        <w:commentReference w:id="0"/>
      </w:r>
      <w:bookmarkStart w:id="1" w:name="_GoBack"/>
      <w:bookmarkEnd w:id="1"/>
    </w:p>
    <w:p w:rsidR="00B7382A" w:rsidRPr="00D01478" w:rsidRDefault="00B7382A">
      <w:pPr>
        <w:jc w:val="both"/>
        <w:outlineLvl w:val="0"/>
        <w:rPr>
          <w:b/>
          <w:sz w:val="22"/>
          <w:lang w:val="fr-FR" w:eastAsia="zh-CN"/>
        </w:rPr>
        <w:sectPr w:rsidR="00B7382A" w:rsidRPr="00D01478">
          <w:footerReference w:type="even" r:id="rId9"/>
          <w:headerReference w:type="first" r:id="rId10"/>
          <w:footerReference w:type="first" r:id="rId11"/>
          <w:pgSz w:w="12240" w:h="15840" w:code="1"/>
          <w:pgMar w:top="1584" w:right="1195" w:bottom="1440" w:left="1195" w:header="576" w:footer="1008" w:gutter="0"/>
          <w:cols w:space="720"/>
          <w:titlePg/>
        </w:sectPr>
      </w:pPr>
    </w:p>
    <w:p w:rsidR="00B7382A" w:rsidRPr="00D01478" w:rsidRDefault="00B7382A">
      <w:pPr>
        <w:pStyle w:val="Heading1"/>
        <w:tabs>
          <w:tab w:val="left" w:pos="1720"/>
          <w:tab w:val="center" w:pos="4925"/>
        </w:tabs>
        <w:spacing w:after="240"/>
        <w:jc w:val="center"/>
        <w:rPr>
          <w:sz w:val="28"/>
          <w:lang w:val="fr-FR"/>
        </w:rPr>
      </w:pPr>
      <w:r w:rsidRPr="00D01478">
        <w:rPr>
          <w:sz w:val="28"/>
          <w:lang w:val="fr-FR"/>
        </w:rPr>
        <w:lastRenderedPageBreak/>
        <w:t>Résolution adoptée par l’Assemblée générale</w:t>
      </w:r>
      <w:r w:rsidR="00E653FA" w:rsidRPr="00D01478">
        <w:rPr>
          <w:sz w:val="28"/>
          <w:lang w:val="fr-FR"/>
        </w:rPr>
        <w:t xml:space="preserve"> le </w:t>
      </w:r>
      <w:r w:rsidR="00D01478" w:rsidRPr="00D01478">
        <w:rPr>
          <w:sz w:val="28"/>
          <w:lang w:val="fr-FR"/>
        </w:rPr>
        <w:t>5 décembre</w:t>
      </w:r>
      <w:r w:rsidR="00E26C58" w:rsidRPr="00D01478">
        <w:rPr>
          <w:sz w:val="28"/>
          <w:lang w:val="fr-FR"/>
        </w:rPr>
        <w:t> </w:t>
      </w:r>
      <w:r w:rsidR="00C36C57" w:rsidRPr="00D01478">
        <w:rPr>
          <w:sz w:val="28"/>
          <w:lang w:val="fr-FR"/>
        </w:rPr>
        <w:t>201</w:t>
      </w:r>
      <w:r w:rsidR="006E5336" w:rsidRPr="00D01478">
        <w:rPr>
          <w:sz w:val="28"/>
          <w:lang w:val="fr-FR"/>
        </w:rPr>
        <w:t>6</w:t>
      </w:r>
    </w:p>
    <w:p w:rsidR="00B7382A" w:rsidRPr="00D01478" w:rsidRDefault="00B7382A" w:rsidP="00690C02">
      <w:pPr>
        <w:spacing w:after="360"/>
        <w:jc w:val="center"/>
        <w:outlineLvl w:val="0"/>
        <w:rPr>
          <w:lang w:val="fr-FR"/>
        </w:rPr>
      </w:pPr>
      <w:r w:rsidRPr="00D01478">
        <w:rPr>
          <w:lang w:val="fr-FR"/>
        </w:rPr>
        <w:t>[</w:t>
      </w:r>
      <w:r w:rsidR="00D01478" w:rsidRPr="00D01478">
        <w:rPr>
          <w:i/>
          <w:lang w:val="fr-FR"/>
        </w:rPr>
        <w:t xml:space="preserve">sur la base du rapport de la Première Commission </w:t>
      </w:r>
      <w:r w:rsidRPr="00D01478">
        <w:rPr>
          <w:i/>
          <w:lang w:val="fr-FR"/>
        </w:rPr>
        <w:t>(</w:t>
      </w:r>
      <w:hyperlink r:id="rId12" w:history="1">
        <w:r w:rsidRPr="0007648C">
          <w:rPr>
            <w:rStyle w:val="Hyperlink"/>
            <w:i/>
            <w:lang w:val="fr-FR"/>
          </w:rPr>
          <w:t>A/</w:t>
        </w:r>
        <w:r w:rsidR="00D01478" w:rsidRPr="0007648C">
          <w:rPr>
            <w:rStyle w:val="Hyperlink"/>
            <w:i/>
            <w:lang w:val="fr-FR"/>
          </w:rPr>
          <w:t>71/451</w:t>
        </w:r>
      </w:hyperlink>
      <w:r w:rsidRPr="00D01478">
        <w:rPr>
          <w:i/>
          <w:lang w:val="fr-FR"/>
        </w:rPr>
        <w:t>)</w:t>
      </w:r>
      <w:r w:rsidRPr="00D01478">
        <w:rPr>
          <w:lang w:val="fr-FR"/>
        </w:rPr>
        <w:t>]</w:t>
      </w:r>
    </w:p>
    <w:p w:rsidR="00D01478" w:rsidRPr="00D01478" w:rsidRDefault="00D01478" w:rsidP="00D014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2059" w:right="1267" w:hanging="792"/>
        <w:rPr>
          <w:bCs/>
          <w:lang w:val="fr-FR"/>
        </w:rPr>
      </w:pPr>
      <w:r w:rsidRPr="00D01478">
        <w:rPr>
          <w:lang w:val="fr-FR"/>
        </w:rPr>
        <w:t>71/78.</w:t>
      </w:r>
      <w:r w:rsidRPr="00D01478">
        <w:rPr>
          <w:lang w:val="fr-FR"/>
        </w:rPr>
        <w:tab/>
        <w:t>Centre régional des Nations Unies pour la paix et le désarmement en Asie et dans le Pacifique</w:t>
      </w:r>
    </w:p>
    <w:p w:rsidR="00D01478" w:rsidRPr="00D01478" w:rsidRDefault="00D01478" w:rsidP="00D01478">
      <w:pPr>
        <w:pStyle w:val="SingleTxt"/>
        <w:rPr>
          <w:lang w:val="fr-FR"/>
        </w:rPr>
      </w:pPr>
      <w:r w:rsidRPr="00D01478">
        <w:rPr>
          <w:lang w:val="fr-FR"/>
        </w:rPr>
        <w:tab/>
      </w:r>
      <w:r w:rsidRPr="00D01478">
        <w:rPr>
          <w:i/>
          <w:iCs/>
          <w:lang w:val="fr-FR"/>
        </w:rPr>
        <w:t>L’Assemblée générale</w:t>
      </w:r>
      <w:r w:rsidRPr="00D01478">
        <w:rPr>
          <w:lang w:val="fr-FR"/>
        </w:rPr>
        <w:t>,</w:t>
      </w:r>
    </w:p>
    <w:p w:rsidR="00D01478" w:rsidRPr="00D01478" w:rsidRDefault="00D01478" w:rsidP="00D01478">
      <w:pPr>
        <w:pStyle w:val="SingleTxt"/>
        <w:rPr>
          <w:lang w:val="fr-FR"/>
        </w:rPr>
      </w:pPr>
      <w:r w:rsidRPr="00D01478">
        <w:rPr>
          <w:i/>
          <w:iCs/>
          <w:lang w:val="fr-FR"/>
        </w:rPr>
        <w:tab/>
        <w:t>Rappelant</w:t>
      </w:r>
      <w:r w:rsidRPr="00D01478">
        <w:rPr>
          <w:lang w:val="fr-FR"/>
        </w:rPr>
        <w:t xml:space="preserve"> sa résolution </w:t>
      </w:r>
      <w:hyperlink r:id="rId13" w:history="1">
        <w:r w:rsidRPr="0007648C">
          <w:rPr>
            <w:rStyle w:val="Hyperlink"/>
            <w:lang w:val="fr-FR"/>
          </w:rPr>
          <w:t>42/39</w:t>
        </w:r>
      </w:hyperlink>
      <w:r w:rsidRPr="00D01478">
        <w:rPr>
          <w:lang w:val="fr-FR"/>
        </w:rPr>
        <w:t xml:space="preserve"> D du 30 novembre 1987, par laquelle elle a créé le Centre régional des Nations Unies pour la paix et le désarmement en Asie, et sa résolution </w:t>
      </w:r>
      <w:hyperlink r:id="rId14" w:history="1">
        <w:r w:rsidRPr="0007648C">
          <w:rPr>
            <w:rStyle w:val="Hyperlink"/>
            <w:lang w:val="fr-FR"/>
          </w:rPr>
          <w:t>44/117</w:t>
        </w:r>
      </w:hyperlink>
      <w:r w:rsidRPr="00D01478">
        <w:rPr>
          <w:lang w:val="fr-FR"/>
        </w:rPr>
        <w:t> F du 15 décembre 1989, par laquelle elle a décidé que le Centre s’appellerait désormais Centre régional des Nations Unies pour la paix et le désarmement en Asie et dans le Pacifique, dont le siège est à Katmandou et qui a pour mandat d’aider, par un appui fonctionnel, les États Membres de la région de l’Asie et du Pacifique qui en font la demande à mettre en œuvre les projets et activités arrêtés d’un commun accord en vue de mener une action de paix et de désarmement, par une utilisation judicieuse des ressources disponibles,</w:t>
      </w:r>
    </w:p>
    <w:p w:rsidR="00D01478" w:rsidRPr="00D01478" w:rsidRDefault="00D01478" w:rsidP="00D01478">
      <w:pPr>
        <w:pStyle w:val="SingleTxt"/>
        <w:rPr>
          <w:lang w:val="fr-FR"/>
        </w:rPr>
      </w:pPr>
      <w:r w:rsidRPr="00D01478">
        <w:rPr>
          <w:i/>
          <w:iCs/>
          <w:lang w:val="fr-FR"/>
        </w:rPr>
        <w:tab/>
        <w:t>Se félicitant</w:t>
      </w:r>
      <w:r w:rsidRPr="00D01478">
        <w:rPr>
          <w:lang w:val="fr-FR"/>
        </w:rPr>
        <w:t xml:space="preserve"> que le Centre opère effectivement à partir de Katmandou, conformément à sa résolution </w:t>
      </w:r>
      <w:hyperlink r:id="rId15" w:history="1">
        <w:r w:rsidRPr="0007648C">
          <w:rPr>
            <w:rStyle w:val="Hyperlink"/>
            <w:lang w:val="fr-FR"/>
          </w:rPr>
          <w:t>62/52</w:t>
        </w:r>
      </w:hyperlink>
      <w:r w:rsidRPr="00D01478">
        <w:rPr>
          <w:lang w:val="fr-FR"/>
        </w:rPr>
        <w:t xml:space="preserve"> du 5 décembre 2007,</w:t>
      </w:r>
    </w:p>
    <w:p w:rsidR="00D01478" w:rsidRPr="00D01478" w:rsidRDefault="00D01478" w:rsidP="00D01478">
      <w:pPr>
        <w:pStyle w:val="SingleTxt"/>
        <w:rPr>
          <w:lang w:val="fr-FR"/>
        </w:rPr>
      </w:pPr>
      <w:r w:rsidRPr="00D01478">
        <w:rPr>
          <w:lang w:val="fr-FR"/>
        </w:rPr>
        <w:tab/>
      </w:r>
      <w:r w:rsidRPr="00D01478">
        <w:rPr>
          <w:i/>
          <w:lang w:val="fr-FR"/>
        </w:rPr>
        <w:t xml:space="preserve">Se félicitant </w:t>
      </w:r>
      <w:r w:rsidRPr="00D01478">
        <w:rPr>
          <w:lang w:val="fr-FR"/>
        </w:rPr>
        <w:t>des efforts déployés conjointement par le Gouvernement népalais et le Bureau des affaires de désarmement du Secrétariat pour permettre au Centre de reprendre ses activités à partir de Katmandou après son installation provisoire à Bangkok au lendemain des séismes survenus en 2015 au Népal,</w:t>
      </w:r>
    </w:p>
    <w:p w:rsidR="00D01478" w:rsidRPr="00D01478" w:rsidRDefault="00D01478" w:rsidP="00D01478">
      <w:pPr>
        <w:pStyle w:val="SingleTxt"/>
        <w:rPr>
          <w:lang w:val="fr-FR"/>
        </w:rPr>
      </w:pPr>
      <w:r w:rsidRPr="00D01478">
        <w:rPr>
          <w:i/>
          <w:iCs/>
          <w:lang w:val="fr-FR"/>
        </w:rPr>
        <w:tab/>
        <w:t>Rappelant</w:t>
      </w:r>
      <w:r w:rsidRPr="00D01478">
        <w:rPr>
          <w:lang w:val="fr-FR"/>
        </w:rPr>
        <w:t xml:space="preserve"> que le Centre a pour mandat d’aider les États Membres de la région de l’Asie et du Pacifique qui en font la demande, par un appui fonctionnel, à mettre en œuvre les projets et activités arrêtés d’un commun accord en vue de mener une action de paix et de désarmement,</w:t>
      </w:r>
    </w:p>
    <w:p w:rsidR="00D01478" w:rsidRPr="00D01478" w:rsidRDefault="00D01478" w:rsidP="00D01478">
      <w:pPr>
        <w:pStyle w:val="SingleTxt"/>
        <w:rPr>
          <w:lang w:val="fr-FR"/>
        </w:rPr>
      </w:pPr>
      <w:r w:rsidRPr="00D01478">
        <w:rPr>
          <w:i/>
          <w:iCs/>
          <w:lang w:val="fr-FR"/>
        </w:rPr>
        <w:tab/>
        <w:t>Prenant acte</w:t>
      </w:r>
      <w:r w:rsidRPr="00D01478">
        <w:rPr>
          <w:lang w:val="fr-FR"/>
        </w:rPr>
        <w:t xml:space="preserve"> du rapport du Secrétaire général</w:t>
      </w:r>
      <w:r w:rsidRPr="00D01478">
        <w:rPr>
          <w:vertAlign w:val="superscript"/>
          <w:lang w:val="fr-FR"/>
        </w:rPr>
        <w:footnoteReference w:id="1"/>
      </w:r>
      <w:r w:rsidRPr="00D01478">
        <w:rPr>
          <w:lang w:val="fr-FR"/>
        </w:rPr>
        <w:t xml:space="preserve"> et sachant gré au Centre de l’important travail de promotion des mesures de confiance qu’il accomplit en organisant des réunions, conférences et ateliers dans la région, notamment l’atelier sur le renforcement des capacités de mise en œuvre du Programme d’action en vue de prévenir, combattre et éliminer le commerce illicite des armes légères sous tous ses aspects, qui s’est tenu à Manille les 25 et 26 novembre 2015, la quatorzième Conférence Organisation des Nations Unies-République de Corée sur les questions de désarmement et de non-prolifération, qui s’est tenue à Séoul les 7 et 8 décembre 2015, l’atelier sur le renforcement des capacités nationales de maîtrise des armes </w:t>
      </w:r>
      <w:r w:rsidRPr="00D01478">
        <w:rPr>
          <w:lang w:val="fr-FR"/>
        </w:rPr>
        <w:lastRenderedPageBreak/>
        <w:t>légères et de petit calibre, qui s’est tenu à Nay Pyi Taw les 23 et 24 février 2016, l’atelier régional sur le renforcement des capacités de l’Asie du Sud-Est, qui s’est tenu à Bangkok les 4 et 5 avril 2016 et l’atelier sur le renforcement des capacités nationales et régionales de mise en œuvre du Traité sur le commerce des armes dans le Pacifique, qui s’est tenu à Apia du 13 au 15 septembre 2016,</w:t>
      </w:r>
    </w:p>
    <w:p w:rsidR="00D01478" w:rsidRPr="00D01478" w:rsidRDefault="00D01478" w:rsidP="00D01478">
      <w:pPr>
        <w:pStyle w:val="SingleTxt"/>
        <w:rPr>
          <w:lang w:val="fr-FR"/>
        </w:rPr>
      </w:pPr>
      <w:r w:rsidRPr="00D01478">
        <w:rPr>
          <w:i/>
          <w:iCs/>
          <w:lang w:val="fr-FR"/>
        </w:rPr>
        <w:tab/>
        <w:t>Remerciant</w:t>
      </w:r>
      <w:r w:rsidRPr="00D01478">
        <w:rPr>
          <w:lang w:val="fr-FR"/>
        </w:rPr>
        <w:t xml:space="preserve"> le Népal de s’être acquitté en temps voulu des engagements qu’il avait pris en tant que pays hôte pour faciliter le fonctionnement effectif du Centre,</w:t>
      </w:r>
    </w:p>
    <w:p w:rsidR="00D01478" w:rsidRPr="00D01478" w:rsidRDefault="00D01478" w:rsidP="00D01478">
      <w:pPr>
        <w:pStyle w:val="SingleTxt"/>
        <w:rPr>
          <w:lang w:val="fr-FR"/>
        </w:rPr>
      </w:pPr>
      <w:r w:rsidRPr="00D01478">
        <w:rPr>
          <w:lang w:val="fr-FR"/>
        </w:rPr>
        <w:tab/>
        <w:t>1.</w:t>
      </w:r>
      <w:r w:rsidRPr="00D01478">
        <w:rPr>
          <w:lang w:val="fr-FR"/>
        </w:rPr>
        <w:tab/>
      </w:r>
      <w:r w:rsidRPr="00D01478">
        <w:rPr>
          <w:i/>
          <w:iCs/>
          <w:lang w:val="fr-FR"/>
        </w:rPr>
        <w:t>Se félicite</w:t>
      </w:r>
      <w:r w:rsidRPr="00D01478">
        <w:rPr>
          <w:lang w:val="fr-FR"/>
        </w:rPr>
        <w:t xml:space="preserve"> des activités menées par le Centre régional des Nations Unies pour la paix et le désarmement en Asie et dans le Pacifique durant l’année écoulée, et invite tous les États de la région à continuer de les appuyer, notamment en y participant, dans la mesure du possible, et en proposant des thèmes à intégrer dans le programme d’activité du Centre afin de contribuer à la mise en œuvre des mesures en faveur de la paix et du désarmement</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2.</w:t>
      </w:r>
      <w:r w:rsidRPr="00D01478">
        <w:rPr>
          <w:lang w:val="fr-FR"/>
        </w:rPr>
        <w:tab/>
      </w:r>
      <w:r w:rsidRPr="00D01478">
        <w:rPr>
          <w:i/>
          <w:iCs/>
          <w:lang w:val="fr-FR"/>
        </w:rPr>
        <w:t>Remercie</w:t>
      </w:r>
      <w:r w:rsidRPr="00D01478">
        <w:rPr>
          <w:lang w:val="fr-FR"/>
        </w:rPr>
        <w:t xml:space="preserve"> le Gouvernement népalais de sa coopération et de son appui financier, grâce auxquels le Centre a pu opérer à partir de Katmandou</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3.</w:t>
      </w:r>
      <w:r w:rsidRPr="00D01478">
        <w:rPr>
          <w:lang w:val="fr-FR"/>
        </w:rPr>
        <w:tab/>
      </w:r>
      <w:r w:rsidRPr="00D01478">
        <w:rPr>
          <w:i/>
          <w:iCs/>
          <w:lang w:val="fr-FR"/>
        </w:rPr>
        <w:t>Sait gré</w:t>
      </w:r>
      <w:r w:rsidRPr="00D01478">
        <w:rPr>
          <w:lang w:val="fr-FR"/>
        </w:rPr>
        <w:t xml:space="preserve"> au Secrétaire général et au Bureau des affaires de désarmement du Secrétariat d’avoir fourni l’appui nécessaire au bon déroulement des activités du Centre et à son fonctionnement efficace</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4.</w:t>
      </w:r>
      <w:r w:rsidRPr="00D01478">
        <w:rPr>
          <w:lang w:val="fr-FR"/>
        </w:rPr>
        <w:tab/>
      </w:r>
      <w:r w:rsidRPr="00D01478">
        <w:rPr>
          <w:i/>
          <w:iCs/>
          <w:lang w:val="fr-FR"/>
        </w:rPr>
        <w:t>Engage</w:t>
      </w:r>
      <w:r w:rsidRPr="00D01478">
        <w:rPr>
          <w:lang w:val="fr-FR"/>
        </w:rPr>
        <w:t xml:space="preserve"> les États Membres, en particulier ceux de la région de l’Asie et du Pacifique, ainsi que les organisations gouvernementales et non gouvernementales et les fondations internationales, à verser des contributions volontaires, qui sont les seules ressources du Centre, pour renforcer son programme d’activité et en faciliter l’exécution</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5.</w:t>
      </w:r>
      <w:r w:rsidRPr="00D01478">
        <w:rPr>
          <w:lang w:val="fr-FR"/>
        </w:rPr>
        <w:tab/>
      </w:r>
      <w:r w:rsidRPr="00D01478">
        <w:rPr>
          <w:i/>
          <w:iCs/>
          <w:lang w:val="fr-FR"/>
        </w:rPr>
        <w:t>Réaffirme</w:t>
      </w:r>
      <w:r w:rsidRPr="00D01478">
        <w:rPr>
          <w:lang w:val="fr-FR"/>
        </w:rPr>
        <w:t xml:space="preserve"> qu’elle appuie énergiquement le rôle que joue le Centre dans la promotion des activités menées par l’Organisation des Nations Unies à l’échelon régional pour renforcer la paix, la stabilité et la sécurité de ses États Membres</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6.</w:t>
      </w:r>
      <w:r w:rsidRPr="00D01478">
        <w:rPr>
          <w:lang w:val="fr-FR"/>
        </w:rPr>
        <w:tab/>
      </w:r>
      <w:r w:rsidRPr="00D01478">
        <w:rPr>
          <w:i/>
          <w:iCs/>
          <w:lang w:val="fr-FR"/>
        </w:rPr>
        <w:t>Souligne</w:t>
      </w:r>
      <w:r w:rsidRPr="00D01478">
        <w:rPr>
          <w:lang w:val="fr-FR"/>
        </w:rPr>
        <w:t xml:space="preserve"> l’importance que revêt le processus de Katmandou comme moyen de développer les concertations régionales sur la sécurité et le désarmement</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7.</w:t>
      </w:r>
      <w:r w:rsidRPr="00D01478">
        <w:rPr>
          <w:lang w:val="fr-FR"/>
        </w:rPr>
        <w:tab/>
      </w:r>
      <w:r w:rsidRPr="00D01478">
        <w:rPr>
          <w:i/>
          <w:iCs/>
          <w:lang w:val="fr-FR"/>
        </w:rPr>
        <w:t>Prie</w:t>
      </w:r>
      <w:r w:rsidRPr="00D01478">
        <w:rPr>
          <w:lang w:val="fr-FR"/>
        </w:rPr>
        <w:t xml:space="preserve"> le Secrétaire général de lui présenter, à sa soixante-douzième session, un rapport sur l’application de la présente résolution</w:t>
      </w:r>
      <w:r w:rsidRPr="00D01478">
        <w:rPr>
          <w:vertAlign w:val="subscript"/>
          <w:lang w:val="fr-FR"/>
        </w:rPr>
        <w:t> </w:t>
      </w:r>
      <w:r w:rsidRPr="00D01478">
        <w:rPr>
          <w:lang w:val="fr-FR"/>
        </w:rPr>
        <w:t>;</w:t>
      </w:r>
    </w:p>
    <w:p w:rsidR="00D01478" w:rsidRPr="00D01478" w:rsidRDefault="00D01478" w:rsidP="00D01478">
      <w:pPr>
        <w:pStyle w:val="SingleTxt"/>
        <w:rPr>
          <w:lang w:val="fr-FR"/>
        </w:rPr>
      </w:pPr>
      <w:r w:rsidRPr="00D01478">
        <w:rPr>
          <w:lang w:val="fr-FR"/>
        </w:rPr>
        <w:tab/>
        <w:t>8.</w:t>
      </w:r>
      <w:r w:rsidRPr="00D01478">
        <w:rPr>
          <w:lang w:val="fr-FR"/>
        </w:rPr>
        <w:tab/>
      </w:r>
      <w:r w:rsidRPr="00D01478">
        <w:rPr>
          <w:i/>
          <w:iCs/>
          <w:lang w:val="fr-FR"/>
        </w:rPr>
        <w:t>Décide</w:t>
      </w:r>
      <w:r w:rsidRPr="00D01478">
        <w:rPr>
          <w:lang w:val="fr-FR"/>
        </w:rPr>
        <w:t xml:space="preserve"> d’inscrire à l’ordre du jour provisoire de sa soixante-douzième session, au titre de la question intitulée « Examen et application du Document de clôture de la douzième session extraordinaire de l’Assemblée générale », la question subsidiaire intitulée « Centre régional des Nations Unies pour la paix et le désarmement en Asie et dans le Pacifique ».</w:t>
      </w:r>
    </w:p>
    <w:p w:rsidR="00B7382A" w:rsidRPr="00D01478" w:rsidRDefault="00B7382A" w:rsidP="006E24AB">
      <w:pPr>
        <w:pStyle w:val="SingleTxt"/>
        <w:widowControl w:val="0"/>
        <w:spacing w:after="0" w:line="120" w:lineRule="exact"/>
        <w:rPr>
          <w:iCs/>
          <w:sz w:val="8"/>
          <w:lang w:val="fr-FR"/>
        </w:rPr>
      </w:pPr>
    </w:p>
    <w:p w:rsidR="006E24AB" w:rsidRPr="00D01478" w:rsidRDefault="00470AB9" w:rsidP="00900FFF">
      <w:pPr>
        <w:pStyle w:val="SingleTxt"/>
        <w:spacing w:line="240" w:lineRule="auto"/>
        <w:jc w:val="right"/>
        <w:rPr>
          <w:i/>
          <w:iCs/>
          <w:lang w:val="fr-FR"/>
        </w:rPr>
      </w:pPr>
      <w:r w:rsidRPr="00D01478">
        <w:rPr>
          <w:i/>
          <w:iCs/>
          <w:lang w:val="fr-FR"/>
        </w:rPr>
        <w:t>5</w:t>
      </w:r>
      <w:r w:rsidR="0012201A" w:rsidRPr="00D01478">
        <w:rPr>
          <w:i/>
          <w:iCs/>
          <w:spacing w:val="20"/>
          <w:w w:val="100"/>
          <w:lang w:val="fr-FR"/>
        </w:rPr>
        <w:t>1</w:t>
      </w:r>
      <w:r w:rsidR="004315E6" w:rsidRPr="00D01478">
        <w:rPr>
          <w:i/>
          <w:iCs/>
          <w:vertAlign w:val="superscript"/>
          <w:lang w:val="fr-FR"/>
        </w:rPr>
        <w:t>e</w:t>
      </w:r>
      <w:r w:rsidR="00D01478" w:rsidRPr="00D01478">
        <w:rPr>
          <w:i/>
          <w:iCs/>
          <w:vertAlign w:val="superscript"/>
          <w:lang w:val="fr-FR"/>
        </w:rPr>
        <w:t> </w:t>
      </w:r>
      <w:r w:rsidR="006A0A5F" w:rsidRPr="00D01478">
        <w:rPr>
          <w:i/>
          <w:iCs/>
          <w:lang w:val="fr-FR"/>
        </w:rPr>
        <w:t>s</w:t>
      </w:r>
      <w:r w:rsidR="00B7382A" w:rsidRPr="00D01478">
        <w:rPr>
          <w:i/>
          <w:iCs/>
          <w:lang w:val="fr-FR"/>
        </w:rPr>
        <w:t>éance plénière</w:t>
      </w:r>
      <w:r w:rsidR="00B7382A" w:rsidRPr="00D01478">
        <w:rPr>
          <w:i/>
          <w:iCs/>
          <w:lang w:val="fr-FR"/>
        </w:rPr>
        <w:br/>
      </w:r>
      <w:r w:rsidR="00D01478" w:rsidRPr="00D01478">
        <w:rPr>
          <w:i/>
          <w:iCs/>
          <w:lang w:val="fr-FR"/>
        </w:rPr>
        <w:t>5 décembre</w:t>
      </w:r>
      <w:r w:rsidR="00E26C58" w:rsidRPr="00D01478">
        <w:rPr>
          <w:i/>
          <w:iCs/>
          <w:lang w:val="fr-FR"/>
        </w:rPr>
        <w:t xml:space="preserve"> </w:t>
      </w:r>
      <w:r w:rsidR="00B7382A" w:rsidRPr="00D01478">
        <w:rPr>
          <w:i/>
          <w:iCs/>
          <w:lang w:val="fr-FR"/>
        </w:rPr>
        <w:t>20</w:t>
      </w:r>
      <w:r w:rsidR="00BE1581" w:rsidRPr="00D01478">
        <w:rPr>
          <w:i/>
          <w:iCs/>
          <w:lang w:val="fr-FR"/>
        </w:rPr>
        <w:t>1</w:t>
      </w:r>
      <w:r w:rsidR="006E5336" w:rsidRPr="00D01478">
        <w:rPr>
          <w:i/>
          <w:iCs/>
          <w:lang w:val="fr-FR"/>
        </w:rPr>
        <w:t>6</w:t>
      </w:r>
    </w:p>
    <w:p w:rsidR="00B7382A" w:rsidRPr="00D01478" w:rsidRDefault="005A190E" w:rsidP="00D01478">
      <w:pPr>
        <w:pStyle w:val="SingleTxt"/>
        <w:rPr>
          <w:iCs/>
          <w:lang w:val="fr-FR"/>
        </w:rPr>
      </w:pPr>
      <w:r>
        <w:rPr>
          <w:noProof/>
          <w:w w:val="100"/>
          <w:lang w:val="en-GB" w:eastAsia="en-GB"/>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ot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7nWZ6noBkdXAkphjxjnf/CdYeCUWIJlCMuOW6cDzxIMYSEa5ReCymj&#10;1lKhvsQP2afHmOC0FCw4Q5iz+10lLTqSMC3xi0WB5z7M6oNiEazlhK2utidCXmy4XKqAB5UAnat1&#10;GYdf83S+mq1m+SifTFejPK3r0ed1lY+ma6BUP9RVVWe/A7UsL1rBGFeB3TCaWf426a+P5DJUt+G8&#10;tSF5jR77BWSHfyQdpQzqXeZgp9l5aweJYRpj8PXlhHG/34N9/76Xf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DTBCot&#10;EAIAACcEAAAOAAAAAAAAAAAAAAAAAC4CAABkcnMvZTJvRG9jLnhtbFBLAQItABQABgAIAAAAIQBL&#10;0WyE3gAAAAkBAAAPAAAAAAAAAAAAAAAAAGoEAABkcnMvZG93bnJldi54bWxQSwUGAAAAAAQABADz&#10;AAAAdQUAAAAA&#10;" strokeweight=".25pt"/>
            </w:pict>
          </mc:Fallback>
        </mc:AlternateContent>
      </w:r>
    </w:p>
    <w:sectPr w:rsidR="00B7382A" w:rsidRPr="00D01478">
      <w:headerReference w:type="even" r:id="rId16"/>
      <w:headerReference w:type="default" r:id="rId17"/>
      <w:footerReference w:type="even" r:id="rId18"/>
      <w:footerReference w:type="default" r:id="rId19"/>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1T11:51:00Z" w:initials="Start">
    <w:p w:rsidR="005A190E" w:rsidRDefault="005A19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NO&gt;&gt;N1642416F&lt;&lt;ODS JOB NO&gt;&gt;</w:t>
      </w:r>
    </w:p>
    <w:p w:rsidR="005A190E" w:rsidRDefault="005A190E">
      <w:pPr>
        <w:pStyle w:val="CommentText"/>
      </w:pPr>
      <w:r>
        <w:t>&lt;&lt;ODS DOC SYMBOL1&gt;&gt;A/RES/71/78&lt;&lt;ODS DOC SYMBOL1&gt;&gt;</w:t>
      </w:r>
    </w:p>
    <w:p w:rsidR="005A190E" w:rsidRDefault="005A190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33" w:rsidRDefault="00CC6E33">
      <w:r>
        <w:separator/>
      </w:r>
    </w:p>
  </w:endnote>
  <w:endnote w:type="continuationSeparator" w:id="0">
    <w:p w:rsidR="00CC6E33" w:rsidRDefault="00CC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10D83">
      <w:rPr>
        <w:rStyle w:val="PageNumber"/>
        <w:b/>
        <w:bCs/>
        <w:noProof/>
        <w:sz w:val="18"/>
      </w:rPr>
      <w:t>2</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1E0" w:firstRow="1" w:lastRow="1" w:firstColumn="1" w:lastColumn="1" w:noHBand="0" w:noVBand="0"/>
    </w:tblPr>
    <w:tblGrid>
      <w:gridCol w:w="5033"/>
      <w:gridCol w:w="3805"/>
    </w:tblGrid>
    <w:tr w:rsidR="00A84A47" w:rsidTr="00D01478">
      <w:tc>
        <w:tcPr>
          <w:tcW w:w="5033" w:type="dxa"/>
          <w:shd w:val="clear" w:color="auto" w:fill="auto"/>
        </w:tcPr>
        <w:p w:rsidR="00A84A47" w:rsidRDefault="005A190E" w:rsidP="00D01478">
          <w:pPr>
            <w:pStyle w:val="Footer"/>
          </w:pPr>
          <w:r>
            <w:rPr>
              <w:noProof/>
              <w:lang w:val="en-GB" w:eastAsia="en-GB"/>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-382270</wp:posOffset>
                </wp:positionV>
                <wp:extent cx="709930" cy="709930"/>
                <wp:effectExtent l="0" t="0" r="0" b="0"/>
                <wp:wrapNone/>
                <wp:docPr id="3"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478">
            <w:t>16-21235 (F)</w:t>
          </w:r>
        </w:p>
        <w:p w:rsidR="00A84A47" w:rsidRPr="00D01478" w:rsidRDefault="00D01478" w:rsidP="00D01478">
          <w:pPr>
            <w:pStyle w:val="Footer"/>
            <w:rPr>
              <w:rFonts w:ascii="Barcode 3 of 9 by request" w:hAnsi="Barcode 3 of 9 by request"/>
              <w:sz w:val="24"/>
            </w:rPr>
          </w:pPr>
          <w:r>
            <w:rPr>
              <w:rFonts w:ascii="Barcode 3 of 9 by request" w:hAnsi="Barcode 3 of 9 by request"/>
              <w:sz w:val="24"/>
            </w:rPr>
            <w:t>*1621235*</w:t>
          </w:r>
        </w:p>
      </w:tc>
      <w:tc>
        <w:tcPr>
          <w:tcW w:w="3805" w:type="dxa"/>
          <w:shd w:val="clear" w:color="auto" w:fill="auto"/>
        </w:tcPr>
        <w:p w:rsidR="00A84A47" w:rsidRDefault="00A84A47" w:rsidP="00D01478">
          <w:pPr>
            <w:pStyle w:val="Footer"/>
            <w:spacing w:before="40"/>
            <w:jc w:val="right"/>
          </w:pPr>
          <w:r w:rsidRPr="00540371">
            <w:rPr>
              <w:b/>
              <w:bCs/>
              <w:spacing w:val="-2"/>
              <w:w w:val="104"/>
              <w:sz w:val="17"/>
              <w:szCs w:val="17"/>
            </w:rPr>
            <w:t>Merci de recycler</w:t>
          </w:r>
          <w:r w:rsidR="00BB6074" w:rsidRPr="00540371">
            <w:rPr>
              <w:b/>
              <w:bCs/>
              <w:spacing w:val="-2"/>
              <w:w w:val="104"/>
              <w:sz w:val="17"/>
              <w:szCs w:val="17"/>
            </w:rPr>
            <w:t xml:space="preserve"> </w:t>
          </w:r>
          <w:r w:rsidR="005A190E">
            <w:rPr>
              <w:b/>
              <w:bCs/>
              <w:noProof/>
              <w:spacing w:val="-2"/>
              <w:w w:val="104"/>
              <w:sz w:val="17"/>
              <w:szCs w:val="17"/>
              <w:lang w:val="en-GB" w:eastAsia="en-GB"/>
            </w:rPr>
            <w:drawing>
              <wp:inline distT="0" distB="0" distL="0" distR="0">
                <wp:extent cx="224155" cy="212090"/>
                <wp:effectExtent l="0" t="0" r="4445" b="0"/>
                <wp:docPr id="2" name="Picture 2" descr="re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155" cy="212090"/>
                        </a:xfrm>
                        <a:prstGeom prst="rect">
                          <a:avLst/>
                        </a:prstGeom>
                        <a:noFill/>
                        <a:ln>
                          <a:noFill/>
                        </a:ln>
                      </pic:spPr>
                    </pic:pic>
                  </a:graphicData>
                </a:graphic>
              </wp:inline>
            </w:drawing>
          </w:r>
        </w:p>
      </w:tc>
    </w:tr>
  </w:tbl>
  <w:p w:rsidR="00A84A47" w:rsidRDefault="00A84A47" w:rsidP="00A84A47">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4B7767">
      <w:rPr>
        <w:rStyle w:val="PageNumber"/>
        <w:b/>
        <w:bCs/>
        <w:noProof/>
        <w:sz w:val="18"/>
      </w:rPr>
      <w:t>2</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4B7767">
      <w:rPr>
        <w:rStyle w:val="PageNumber"/>
        <w:b/>
        <w:bCs/>
        <w:noProof/>
        <w:sz w:val="18"/>
      </w:rPr>
      <w:t>2</w:t>
    </w:r>
    <w:r w:rsidR="005B5DCB" w:rsidRPr="005B5DCB">
      <w:rPr>
        <w:rStyle w:val="PageNumber"/>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10D83">
      <w:rPr>
        <w:rStyle w:val="PageNumber"/>
        <w:b/>
        <w:bCs/>
        <w:noProof/>
        <w:sz w:val="18"/>
      </w:rPr>
      <w:t>2</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C10D83">
      <w:rPr>
        <w:rStyle w:val="PageNumber"/>
        <w:b/>
        <w:bCs/>
        <w:noProof/>
        <w:sz w:val="18"/>
      </w:rPr>
      <w:t>2</w:t>
    </w:r>
    <w:r w:rsidR="005B5DCB" w:rsidRPr="005B5DC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33" w:rsidRPr="00D01478" w:rsidRDefault="00CC6E33" w:rsidP="00D01478">
      <w:pPr>
        <w:pStyle w:val="Footer"/>
        <w:suppressAutoHyphens/>
        <w:spacing w:beforeLines="100" w:before="240" w:afterLines="50" w:after="120"/>
        <w:ind w:left="1267" w:right="1267"/>
        <w:rPr>
          <w:b/>
          <w:kern w:val="14"/>
        </w:rPr>
      </w:pPr>
      <w:r w:rsidRPr="00D01478">
        <w:rPr>
          <w:b/>
          <w:kern w:val="14"/>
        </w:rPr>
        <w:t>_______________</w:t>
      </w:r>
    </w:p>
  </w:footnote>
  <w:footnote w:type="continuationSeparator" w:id="0">
    <w:p w:rsidR="00CC6E33" w:rsidRPr="00D01478" w:rsidRDefault="00CC6E33">
      <w:pPr>
        <w:rPr>
          <w:highlight w:val="yellow"/>
        </w:rPr>
      </w:pPr>
      <w:r w:rsidRPr="00D01478">
        <w:rPr>
          <w:highlight w:val="yellow"/>
        </w:rPr>
        <w:continuationSeparator/>
      </w:r>
    </w:p>
  </w:footnote>
  <w:footnote w:id="1">
    <w:p w:rsidR="00D01478" w:rsidRPr="00D01478" w:rsidRDefault="00D01478" w:rsidP="00D01478">
      <w:pPr>
        <w:pStyle w:val="FootnoteText"/>
        <w:keepLines/>
        <w:tabs>
          <w:tab w:val="right" w:pos="1195"/>
          <w:tab w:val="left" w:pos="1267"/>
          <w:tab w:val="left" w:pos="1742"/>
          <w:tab w:val="left" w:pos="2218"/>
          <w:tab w:val="left" w:pos="2693"/>
        </w:tabs>
        <w:spacing w:after="60" w:line="180" w:lineRule="exact"/>
        <w:ind w:left="1267" w:right="1267"/>
        <w:jc w:val="both"/>
        <w:rPr>
          <w:sz w:val="17"/>
          <w:szCs w:val="17"/>
          <w:lang w:val="fr-FR"/>
        </w:rPr>
      </w:pPr>
      <w:r w:rsidRPr="00D01478">
        <w:rPr>
          <w:rStyle w:val="FootnoteReference"/>
          <w:sz w:val="17"/>
          <w:szCs w:val="17"/>
          <w:lang w:val="fr-FR"/>
        </w:rPr>
        <w:footnoteRef/>
      </w:r>
      <w:r w:rsidRPr="00D01478">
        <w:rPr>
          <w:sz w:val="17"/>
          <w:lang w:val="fr-FR"/>
        </w:rPr>
        <w:t> </w:t>
      </w:r>
      <w:hyperlink r:id="rId1" w:history="1">
        <w:r w:rsidRPr="0007648C">
          <w:rPr>
            <w:rStyle w:val="Hyperlink"/>
            <w:sz w:val="17"/>
            <w:szCs w:val="17"/>
            <w:lang w:val="fr-FR"/>
          </w:rPr>
          <w:t>A/71/125</w:t>
        </w:r>
      </w:hyperlink>
      <w:r w:rsidRPr="00D01478">
        <w:rPr>
          <w:sz w:val="17"/>
          <w:szCs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212469">
      <w:trPr>
        <w:cantSplit/>
        <w:trHeight w:val="540"/>
      </w:trPr>
      <w:tc>
        <w:tcPr>
          <w:tcW w:w="1350" w:type="dxa"/>
          <w:tcBorders>
            <w:bottom w:val="single" w:sz="6" w:space="0" w:color="auto"/>
          </w:tcBorders>
        </w:tcPr>
        <w:p w:rsidR="00212469" w:rsidRDefault="00212469">
          <w:pPr>
            <w:spacing w:before="240"/>
            <w:rPr>
              <w:sz w:val="22"/>
              <w:lang w:val="fr-FR"/>
            </w:rPr>
          </w:pPr>
        </w:p>
      </w:tc>
      <w:tc>
        <w:tcPr>
          <w:tcW w:w="5220" w:type="dxa"/>
          <w:tcBorders>
            <w:bottom w:val="single" w:sz="6" w:space="0" w:color="auto"/>
          </w:tcBorders>
        </w:tcPr>
        <w:p w:rsidR="00212469" w:rsidRDefault="00212469">
          <w:pPr>
            <w:pStyle w:val="Heading2"/>
            <w:spacing w:before="240"/>
            <w:rPr>
              <w:sz w:val="28"/>
            </w:rPr>
          </w:pPr>
          <w:r>
            <w:rPr>
              <w:sz w:val="28"/>
            </w:rPr>
            <w:t>Nations Unies</w:t>
          </w:r>
        </w:p>
      </w:tc>
      <w:tc>
        <w:tcPr>
          <w:tcW w:w="3330" w:type="dxa"/>
          <w:tcBorders>
            <w:bottom w:val="single" w:sz="6" w:space="0" w:color="auto"/>
          </w:tcBorders>
        </w:tcPr>
        <w:p w:rsidR="00212469" w:rsidRDefault="00212469" w:rsidP="00D01478">
          <w:pPr>
            <w:spacing w:before="120"/>
            <w:jc w:val="right"/>
            <w:rPr>
              <w:lang w:val="fr-FR"/>
            </w:rPr>
          </w:pPr>
          <w:r>
            <w:rPr>
              <w:bCs/>
              <w:sz w:val="40"/>
              <w:lang w:val="fr-FR"/>
            </w:rPr>
            <w:t>A</w:t>
          </w:r>
          <w:r>
            <w:rPr>
              <w:lang w:val="fr-FR"/>
            </w:rPr>
            <w:t>/RES/</w:t>
          </w:r>
          <w:r w:rsidR="00D01478">
            <w:rPr>
              <w:lang w:val="fr-FR"/>
            </w:rPr>
            <w:t>71/78</w:t>
          </w:r>
        </w:p>
      </w:tc>
    </w:tr>
    <w:tr w:rsidR="00212469">
      <w:trPr>
        <w:trHeight w:val="1988"/>
      </w:trPr>
      <w:tc>
        <w:tcPr>
          <w:tcW w:w="1350" w:type="dxa"/>
          <w:tcBorders>
            <w:top w:val="single" w:sz="6" w:space="0" w:color="auto"/>
            <w:bottom w:val="single" w:sz="12" w:space="0" w:color="auto"/>
          </w:tcBorders>
          <w:vAlign w:val="center"/>
        </w:tcPr>
        <w:p w:rsidR="00212469" w:rsidRDefault="005A190E">
          <w:pPr>
            <w:rPr>
              <w:lang w:val="fr-FR"/>
            </w:rPr>
          </w:pPr>
          <w:r>
            <w:rPr>
              <w:noProof/>
              <w:lang w:val="en-GB" w:eastAsia="en-GB"/>
            </w:rPr>
            <w:drawing>
              <wp:inline distT="0" distB="0" distL="0" distR="0">
                <wp:extent cx="725805" cy="619125"/>
                <wp:effectExtent l="0" t="0" r="0"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61912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212469" w:rsidRDefault="00212469">
          <w:pPr>
            <w:pStyle w:val="Heading3"/>
            <w:rPr>
              <w:b/>
            </w:rPr>
          </w:pPr>
          <w:r>
            <w:rPr>
              <w:b/>
            </w:rPr>
            <w:t>Assemblée générale</w:t>
          </w:r>
        </w:p>
      </w:tc>
      <w:tc>
        <w:tcPr>
          <w:tcW w:w="3330" w:type="dxa"/>
          <w:tcBorders>
            <w:top w:val="single" w:sz="6" w:space="0" w:color="auto"/>
            <w:bottom w:val="single" w:sz="12" w:space="0" w:color="auto"/>
          </w:tcBorders>
          <w:vAlign w:val="center"/>
        </w:tcPr>
        <w:p w:rsidR="00212469" w:rsidRDefault="00212469">
          <w:pPr>
            <w:jc w:val="right"/>
            <w:rPr>
              <w:lang w:val="fr-FR"/>
            </w:rPr>
          </w:pPr>
          <w:r>
            <w:rPr>
              <w:lang w:val="fr-FR"/>
            </w:rPr>
            <w:t>Distr. générale</w:t>
          </w:r>
        </w:p>
        <w:p w:rsidR="00212469" w:rsidRDefault="001145B9" w:rsidP="00470AB9">
          <w:pPr>
            <w:jc w:val="right"/>
            <w:rPr>
              <w:lang w:val="fr-FR"/>
            </w:rPr>
          </w:pPr>
          <w:r>
            <w:rPr>
              <w:lang w:val="fr-FR"/>
            </w:rPr>
            <w:t>15</w:t>
          </w:r>
          <w:r w:rsidR="00DD3E67">
            <w:rPr>
              <w:lang w:val="fr-FR"/>
            </w:rPr>
            <w:t> </w:t>
          </w:r>
          <w:r w:rsidR="00470AB9">
            <w:rPr>
              <w:lang w:val="fr-FR"/>
            </w:rPr>
            <w:t>d</w:t>
          </w:r>
          <w:r w:rsidR="00470AB9">
            <w:rPr>
              <w:lang w:val="fr-CA"/>
            </w:rPr>
            <w:t>écembre</w:t>
          </w:r>
          <w:r w:rsidR="00E26C58">
            <w:rPr>
              <w:lang w:val="fr-FR"/>
            </w:rPr>
            <w:t xml:space="preserve"> </w:t>
          </w:r>
          <w:r w:rsidR="00F66B1D">
            <w:rPr>
              <w:lang w:val="fr-FR"/>
            </w:rPr>
            <w:t>201</w:t>
          </w:r>
          <w:r w:rsidR="0053264B">
            <w:rPr>
              <w:lang w:val="fr-FR"/>
            </w:rPr>
            <w:t>6</w:t>
          </w:r>
        </w:p>
      </w:tc>
    </w:tr>
    <w:tr w:rsidR="00212469">
      <w:trPr>
        <w:cantSplit/>
        <w:trHeight w:val="542"/>
      </w:trPr>
      <w:tc>
        <w:tcPr>
          <w:tcW w:w="9900" w:type="dxa"/>
          <w:gridSpan w:val="3"/>
          <w:tcBorders>
            <w:top w:val="single" w:sz="12" w:space="0" w:color="auto"/>
          </w:tcBorders>
          <w:vAlign w:val="bottom"/>
        </w:tcPr>
        <w:p w:rsidR="00212469" w:rsidRDefault="003E5D15" w:rsidP="00690C02">
          <w:pPr>
            <w:pStyle w:val="Heading4"/>
            <w:rPr>
              <w:sz w:val="20"/>
            </w:rPr>
          </w:pPr>
          <w:r>
            <w:rPr>
              <w:sz w:val="20"/>
            </w:rPr>
            <w:t>Soixante</w:t>
          </w:r>
          <w:r w:rsidR="000D20B2">
            <w:rPr>
              <w:sz w:val="20"/>
            </w:rPr>
            <w:t xml:space="preserve"> et onzi</w:t>
          </w:r>
          <w:r w:rsidR="000D20B2">
            <w:rPr>
              <w:sz w:val="20"/>
              <w:lang w:val="fr-CA"/>
            </w:rPr>
            <w:t>ème</w:t>
          </w:r>
          <w:r w:rsidR="006B495F">
            <w:rPr>
              <w:sz w:val="20"/>
            </w:rPr>
            <w:t xml:space="preserve"> </w:t>
          </w:r>
          <w:r>
            <w:rPr>
              <w:sz w:val="20"/>
            </w:rPr>
            <w:t>session</w:t>
          </w:r>
        </w:p>
        <w:p w:rsidR="00212469" w:rsidRDefault="00212469" w:rsidP="004C3831">
          <w:pPr>
            <w:rPr>
              <w:lang w:val="fr-FR"/>
            </w:rPr>
          </w:pPr>
          <w:r>
            <w:rPr>
              <w:lang w:val="fr-FR"/>
            </w:rPr>
            <w:t>Point</w:t>
          </w:r>
          <w:r w:rsidR="00D01478">
            <w:rPr>
              <w:lang w:val="fr-FR"/>
            </w:rPr>
            <w:t xml:space="preserve"> 99, </w:t>
          </w:r>
          <w:r w:rsidR="00D01478" w:rsidRPr="00D01478">
            <w:rPr>
              <w:i/>
              <w:lang w:val="fr-FR"/>
            </w:rPr>
            <w:t>f</w:t>
          </w:r>
          <w:r w:rsidR="00D01478">
            <w:rPr>
              <w:lang w:val="fr-FR"/>
            </w:rPr>
            <w:t>,</w:t>
          </w:r>
          <w:r>
            <w:rPr>
              <w:lang w:val="fr-FR"/>
            </w:rPr>
            <w:t xml:space="preserve"> de l’ordre du jour</w:t>
          </w:r>
        </w:p>
      </w:tc>
    </w:tr>
  </w:tbl>
  <w:p w:rsidR="00212469" w:rsidRDefault="00212469">
    <w:pPr>
      <w:pStyle w:val="Header"/>
      <w:rPr>
        <w:sz w:val="16"/>
        <w:vertAlign w:val="superscript"/>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5B5DCB" w:rsidRPr="00540371" w:rsidTr="00540371">
      <w:trPr>
        <w:trHeight w:val="720"/>
      </w:trPr>
      <w:tc>
        <w:tcPr>
          <w:tcW w:w="2520" w:type="dxa"/>
          <w:shd w:val="clear" w:color="auto" w:fill="auto"/>
          <w:vAlign w:val="bottom"/>
        </w:tcPr>
        <w:p w:rsidR="005B5DCB" w:rsidRPr="00540371" w:rsidRDefault="00D01478" w:rsidP="006B495F">
          <w:pPr>
            <w:tabs>
              <w:tab w:val="center" w:pos="4320"/>
              <w:tab w:val="right" w:pos="8640"/>
            </w:tabs>
            <w:spacing w:after="40"/>
            <w:rPr>
              <w:b/>
              <w:sz w:val="18"/>
              <w:lang w:val="fr-FR"/>
            </w:rPr>
          </w:pPr>
          <w:r>
            <w:rPr>
              <w:b/>
              <w:sz w:val="18"/>
              <w:lang w:val="fr-FR"/>
            </w:rPr>
            <w:t>A/RES/71/78</w:t>
          </w:r>
        </w:p>
      </w:tc>
      <w:tc>
        <w:tcPr>
          <w:tcW w:w="7330" w:type="dxa"/>
          <w:shd w:val="clear" w:color="auto" w:fill="auto"/>
          <w:vAlign w:val="bottom"/>
        </w:tcPr>
        <w:p w:rsidR="005B5DCB" w:rsidRPr="00540371" w:rsidRDefault="00D01478" w:rsidP="00540371">
          <w:pPr>
            <w:tabs>
              <w:tab w:val="center" w:pos="4320"/>
              <w:tab w:val="right" w:pos="8640"/>
            </w:tabs>
            <w:spacing w:after="40"/>
            <w:jc w:val="right"/>
            <w:rPr>
              <w:b/>
              <w:sz w:val="18"/>
              <w:lang w:val="fr-FR"/>
            </w:rPr>
          </w:pPr>
          <w:r w:rsidRPr="00D01478">
            <w:rPr>
              <w:b/>
              <w:sz w:val="18"/>
              <w:lang w:val="fr-FR"/>
            </w:rPr>
            <w:t>Centre régional des Nations Unies pour la paix et le désarmement en Asie et dans le Pacifique</w:t>
          </w:r>
        </w:p>
      </w:tc>
    </w:tr>
  </w:tbl>
  <w:p w:rsidR="00212469" w:rsidRPr="005B5DCB" w:rsidRDefault="00212469" w:rsidP="005B5DC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5B5DCB" w:rsidRPr="00CD7507" w:rsidTr="00540371">
      <w:trPr>
        <w:trHeight w:val="720"/>
      </w:trPr>
      <w:tc>
        <w:tcPr>
          <w:tcW w:w="7330" w:type="dxa"/>
          <w:shd w:val="clear" w:color="auto" w:fill="auto"/>
          <w:vAlign w:val="bottom"/>
        </w:tcPr>
        <w:p w:rsidR="005B5DCB" w:rsidRPr="00CD7507" w:rsidRDefault="005B5DCB" w:rsidP="00540371">
          <w:pPr>
            <w:pStyle w:val="Header"/>
            <w:spacing w:after="40"/>
            <w:rPr>
              <w:b/>
              <w:sz w:val="18"/>
              <w:lang w:val="fr-FR"/>
            </w:rPr>
          </w:pPr>
        </w:p>
      </w:tc>
      <w:tc>
        <w:tcPr>
          <w:tcW w:w="2552" w:type="dxa"/>
          <w:shd w:val="clear" w:color="auto" w:fill="auto"/>
          <w:vAlign w:val="bottom"/>
        </w:tcPr>
        <w:p w:rsidR="005B5DCB" w:rsidRPr="00CD7507" w:rsidRDefault="00D01478" w:rsidP="006B495F">
          <w:pPr>
            <w:pStyle w:val="Header"/>
            <w:spacing w:after="40"/>
            <w:jc w:val="right"/>
            <w:rPr>
              <w:b/>
              <w:sz w:val="18"/>
              <w:lang w:val="fr-FR"/>
            </w:rPr>
          </w:pPr>
          <w:r>
            <w:rPr>
              <w:b/>
              <w:sz w:val="18"/>
              <w:lang w:val="fr-FR"/>
            </w:rPr>
            <w:t>A/RES/71/78</w:t>
          </w:r>
        </w:p>
      </w:tc>
    </w:tr>
  </w:tbl>
  <w:p w:rsidR="00212469" w:rsidRPr="00CD7507" w:rsidRDefault="00212469" w:rsidP="005B5DCB">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235*"/>
    <w:docVar w:name="jobn" w:val="16-21235 (F)"/>
    <w:docVar w:name="JobNo" w:val="1621235F"/>
    <w:docVar w:name="ODSRefJobNo" w:val="1642416F"/>
    <w:docVar w:name="sss1" w:val="A/RES/71/78"/>
    <w:docVar w:name="sss2" w:val="-"/>
  </w:docVars>
  <w:rsids>
    <w:rsidRoot w:val="00D01478"/>
    <w:rsid w:val="00021193"/>
    <w:rsid w:val="000231D8"/>
    <w:rsid w:val="0002461F"/>
    <w:rsid w:val="00037F5A"/>
    <w:rsid w:val="00043523"/>
    <w:rsid w:val="00051653"/>
    <w:rsid w:val="00064DC5"/>
    <w:rsid w:val="00070817"/>
    <w:rsid w:val="00072694"/>
    <w:rsid w:val="00073748"/>
    <w:rsid w:val="0007648C"/>
    <w:rsid w:val="00085CCD"/>
    <w:rsid w:val="000A54E6"/>
    <w:rsid w:val="000D20B2"/>
    <w:rsid w:val="000D3AE6"/>
    <w:rsid w:val="000D6861"/>
    <w:rsid w:val="0010082B"/>
    <w:rsid w:val="00105E33"/>
    <w:rsid w:val="001145B9"/>
    <w:rsid w:val="00115CA8"/>
    <w:rsid w:val="0012201A"/>
    <w:rsid w:val="00136D8E"/>
    <w:rsid w:val="00142CAF"/>
    <w:rsid w:val="0014636F"/>
    <w:rsid w:val="00164901"/>
    <w:rsid w:val="001E04DF"/>
    <w:rsid w:val="001E172B"/>
    <w:rsid w:val="00212469"/>
    <w:rsid w:val="00215ED0"/>
    <w:rsid w:val="002433D4"/>
    <w:rsid w:val="002450CD"/>
    <w:rsid w:val="00286F6B"/>
    <w:rsid w:val="00297C75"/>
    <w:rsid w:val="002A6819"/>
    <w:rsid w:val="002B0901"/>
    <w:rsid w:val="002B2C7F"/>
    <w:rsid w:val="002C14AD"/>
    <w:rsid w:val="002D3D76"/>
    <w:rsid w:val="002F0977"/>
    <w:rsid w:val="002F1185"/>
    <w:rsid w:val="002F6181"/>
    <w:rsid w:val="00301083"/>
    <w:rsid w:val="003131F1"/>
    <w:rsid w:val="0035244D"/>
    <w:rsid w:val="00357832"/>
    <w:rsid w:val="003701BA"/>
    <w:rsid w:val="00385601"/>
    <w:rsid w:val="003A0CE4"/>
    <w:rsid w:val="003A23E3"/>
    <w:rsid w:val="003B2965"/>
    <w:rsid w:val="003C41A6"/>
    <w:rsid w:val="003D2229"/>
    <w:rsid w:val="003D437D"/>
    <w:rsid w:val="003E5D15"/>
    <w:rsid w:val="004236A3"/>
    <w:rsid w:val="004315E6"/>
    <w:rsid w:val="00441BBF"/>
    <w:rsid w:val="00443F5E"/>
    <w:rsid w:val="00457282"/>
    <w:rsid w:val="0046474C"/>
    <w:rsid w:val="00470AB9"/>
    <w:rsid w:val="004810C4"/>
    <w:rsid w:val="00481D38"/>
    <w:rsid w:val="00483AB0"/>
    <w:rsid w:val="00485192"/>
    <w:rsid w:val="0049584F"/>
    <w:rsid w:val="004B2D2D"/>
    <w:rsid w:val="004B4E7B"/>
    <w:rsid w:val="004B7767"/>
    <w:rsid w:val="004B779A"/>
    <w:rsid w:val="004C3831"/>
    <w:rsid w:val="004E070D"/>
    <w:rsid w:val="004F194F"/>
    <w:rsid w:val="004F4C23"/>
    <w:rsid w:val="00511689"/>
    <w:rsid w:val="0053264B"/>
    <w:rsid w:val="00540371"/>
    <w:rsid w:val="00541D82"/>
    <w:rsid w:val="00550CE8"/>
    <w:rsid w:val="00552AFB"/>
    <w:rsid w:val="00553F2E"/>
    <w:rsid w:val="0055753E"/>
    <w:rsid w:val="00581C52"/>
    <w:rsid w:val="0058654D"/>
    <w:rsid w:val="005A190E"/>
    <w:rsid w:val="005B5DCB"/>
    <w:rsid w:val="005C75D8"/>
    <w:rsid w:val="005D0D63"/>
    <w:rsid w:val="005D11B3"/>
    <w:rsid w:val="005E570A"/>
    <w:rsid w:val="005F2E9F"/>
    <w:rsid w:val="005F500F"/>
    <w:rsid w:val="0060323E"/>
    <w:rsid w:val="0060462D"/>
    <w:rsid w:val="00604B0F"/>
    <w:rsid w:val="00610E78"/>
    <w:rsid w:val="006427BB"/>
    <w:rsid w:val="0066527D"/>
    <w:rsid w:val="00684DF2"/>
    <w:rsid w:val="00690C02"/>
    <w:rsid w:val="006928EF"/>
    <w:rsid w:val="00694847"/>
    <w:rsid w:val="0069587E"/>
    <w:rsid w:val="006A0A5F"/>
    <w:rsid w:val="006A1A81"/>
    <w:rsid w:val="006B495F"/>
    <w:rsid w:val="006C1DFA"/>
    <w:rsid w:val="006E24AB"/>
    <w:rsid w:val="006E5336"/>
    <w:rsid w:val="00710432"/>
    <w:rsid w:val="00716121"/>
    <w:rsid w:val="007227A6"/>
    <w:rsid w:val="0074368E"/>
    <w:rsid w:val="007516A7"/>
    <w:rsid w:val="007629F9"/>
    <w:rsid w:val="0077122A"/>
    <w:rsid w:val="00771B67"/>
    <w:rsid w:val="00776506"/>
    <w:rsid w:val="007928C1"/>
    <w:rsid w:val="00793D4A"/>
    <w:rsid w:val="007940A2"/>
    <w:rsid w:val="00794BD4"/>
    <w:rsid w:val="00795BE4"/>
    <w:rsid w:val="007B26A6"/>
    <w:rsid w:val="007D21BA"/>
    <w:rsid w:val="00807950"/>
    <w:rsid w:val="00810962"/>
    <w:rsid w:val="00815388"/>
    <w:rsid w:val="00815FFF"/>
    <w:rsid w:val="008241D6"/>
    <w:rsid w:val="00835D81"/>
    <w:rsid w:val="00841676"/>
    <w:rsid w:val="0084246A"/>
    <w:rsid w:val="00843725"/>
    <w:rsid w:val="00874735"/>
    <w:rsid w:val="0088528E"/>
    <w:rsid w:val="008978DE"/>
    <w:rsid w:val="008A270A"/>
    <w:rsid w:val="008B69E6"/>
    <w:rsid w:val="008C08B9"/>
    <w:rsid w:val="008C54CF"/>
    <w:rsid w:val="008D6C66"/>
    <w:rsid w:val="008E6D67"/>
    <w:rsid w:val="008F3FC2"/>
    <w:rsid w:val="00900FFF"/>
    <w:rsid w:val="009014A4"/>
    <w:rsid w:val="009238B8"/>
    <w:rsid w:val="00962467"/>
    <w:rsid w:val="00983132"/>
    <w:rsid w:val="009836DB"/>
    <w:rsid w:val="009845F9"/>
    <w:rsid w:val="00996A0C"/>
    <w:rsid w:val="0099701D"/>
    <w:rsid w:val="009B26DB"/>
    <w:rsid w:val="009C27FC"/>
    <w:rsid w:val="009C75C6"/>
    <w:rsid w:val="009C7E72"/>
    <w:rsid w:val="009E1C21"/>
    <w:rsid w:val="009E66DC"/>
    <w:rsid w:val="009F1375"/>
    <w:rsid w:val="009F2366"/>
    <w:rsid w:val="009F5CB0"/>
    <w:rsid w:val="00A0632A"/>
    <w:rsid w:val="00A0719C"/>
    <w:rsid w:val="00A27A7D"/>
    <w:rsid w:val="00A32F47"/>
    <w:rsid w:val="00A339F9"/>
    <w:rsid w:val="00A35703"/>
    <w:rsid w:val="00A41038"/>
    <w:rsid w:val="00A505D2"/>
    <w:rsid w:val="00A549D8"/>
    <w:rsid w:val="00A6711D"/>
    <w:rsid w:val="00A71989"/>
    <w:rsid w:val="00A829BA"/>
    <w:rsid w:val="00A84A47"/>
    <w:rsid w:val="00A85949"/>
    <w:rsid w:val="00A86134"/>
    <w:rsid w:val="00A92B7B"/>
    <w:rsid w:val="00A935E0"/>
    <w:rsid w:val="00AA548D"/>
    <w:rsid w:val="00AA57B3"/>
    <w:rsid w:val="00AB30F2"/>
    <w:rsid w:val="00AD2158"/>
    <w:rsid w:val="00AF2270"/>
    <w:rsid w:val="00AF5A67"/>
    <w:rsid w:val="00B0747A"/>
    <w:rsid w:val="00B1278F"/>
    <w:rsid w:val="00B330C6"/>
    <w:rsid w:val="00B475F8"/>
    <w:rsid w:val="00B61DEE"/>
    <w:rsid w:val="00B7382A"/>
    <w:rsid w:val="00B8526A"/>
    <w:rsid w:val="00BB488E"/>
    <w:rsid w:val="00BB6074"/>
    <w:rsid w:val="00BB71E0"/>
    <w:rsid w:val="00BC32DC"/>
    <w:rsid w:val="00BE1581"/>
    <w:rsid w:val="00BF5575"/>
    <w:rsid w:val="00BF6B48"/>
    <w:rsid w:val="00C10D83"/>
    <w:rsid w:val="00C11F6B"/>
    <w:rsid w:val="00C1759F"/>
    <w:rsid w:val="00C3550E"/>
    <w:rsid w:val="00C36C57"/>
    <w:rsid w:val="00C5067C"/>
    <w:rsid w:val="00C65E2B"/>
    <w:rsid w:val="00C874FE"/>
    <w:rsid w:val="00C94B1C"/>
    <w:rsid w:val="00C978CE"/>
    <w:rsid w:val="00CA70E8"/>
    <w:rsid w:val="00CC2249"/>
    <w:rsid w:val="00CC3A11"/>
    <w:rsid w:val="00CC6E33"/>
    <w:rsid w:val="00CD625B"/>
    <w:rsid w:val="00CD7507"/>
    <w:rsid w:val="00CE454F"/>
    <w:rsid w:val="00D01478"/>
    <w:rsid w:val="00D049F8"/>
    <w:rsid w:val="00D0685A"/>
    <w:rsid w:val="00D16E81"/>
    <w:rsid w:val="00D25A85"/>
    <w:rsid w:val="00D31A43"/>
    <w:rsid w:val="00D37BE8"/>
    <w:rsid w:val="00D515EC"/>
    <w:rsid w:val="00D57189"/>
    <w:rsid w:val="00D71983"/>
    <w:rsid w:val="00D74578"/>
    <w:rsid w:val="00D74A25"/>
    <w:rsid w:val="00D85C73"/>
    <w:rsid w:val="00DA0D7A"/>
    <w:rsid w:val="00DB05B4"/>
    <w:rsid w:val="00DD10DE"/>
    <w:rsid w:val="00DD1DD7"/>
    <w:rsid w:val="00DD3E67"/>
    <w:rsid w:val="00DF3FD5"/>
    <w:rsid w:val="00E07CDF"/>
    <w:rsid w:val="00E07D51"/>
    <w:rsid w:val="00E16A0A"/>
    <w:rsid w:val="00E26C58"/>
    <w:rsid w:val="00E46972"/>
    <w:rsid w:val="00E4716A"/>
    <w:rsid w:val="00E56D25"/>
    <w:rsid w:val="00E5751E"/>
    <w:rsid w:val="00E6250A"/>
    <w:rsid w:val="00E653FA"/>
    <w:rsid w:val="00E76365"/>
    <w:rsid w:val="00E77077"/>
    <w:rsid w:val="00EA7E27"/>
    <w:rsid w:val="00EB1021"/>
    <w:rsid w:val="00ED293D"/>
    <w:rsid w:val="00ED2DD9"/>
    <w:rsid w:val="00EE3952"/>
    <w:rsid w:val="00F04046"/>
    <w:rsid w:val="00F14E46"/>
    <w:rsid w:val="00F2586F"/>
    <w:rsid w:val="00F3372D"/>
    <w:rsid w:val="00F66B1D"/>
    <w:rsid w:val="00F66DBB"/>
    <w:rsid w:val="00F7130F"/>
    <w:rsid w:val="00F9172A"/>
    <w:rsid w:val="00FC2EFC"/>
    <w:rsid w:val="00FE1978"/>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C11F6B"/>
    <w:rPr>
      <w:rFonts w:ascii="Tahoma" w:hAnsi="Tahoma" w:cs="Tahoma"/>
      <w:sz w:val="16"/>
      <w:szCs w:val="16"/>
    </w:rPr>
  </w:style>
  <w:style w:type="table" w:styleId="TableGrid">
    <w:name w:val="Table Grid"/>
    <w:basedOn w:val="TableNormal"/>
    <w:rsid w:val="00A8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E5D15"/>
    <w:rPr>
      <w:b/>
      <w:sz w:val="22"/>
      <w:lang w:val="fr-FR" w:eastAsia="en-US"/>
    </w:rPr>
  </w:style>
  <w:style w:type="paragraph" w:customStyle="1" w:styleId="H1">
    <w:name w:val="_ H_1"/>
    <w:basedOn w:val="Normal"/>
    <w:next w:val="SingleTxt"/>
    <w:qFormat/>
    <w:rsid w:val="00D01478"/>
    <w:pPr>
      <w:keepNext/>
      <w:keepLines/>
      <w:suppressAutoHyphens/>
      <w:spacing w:line="270" w:lineRule="exact"/>
      <w:outlineLvl w:val="0"/>
    </w:pPr>
    <w:rPr>
      <w:rFonts w:eastAsia="Calibri"/>
      <w:b/>
      <w:spacing w:val="4"/>
      <w:w w:val="103"/>
      <w:kern w:val="14"/>
      <w:sz w:val="24"/>
      <w:szCs w:val="22"/>
      <w:lang w:val="fr-CA"/>
    </w:rPr>
  </w:style>
  <w:style w:type="character" w:customStyle="1" w:styleId="FootnoteTextChar">
    <w:name w:val="Footnote Text Char"/>
    <w:link w:val="FootnoteText"/>
    <w:uiPriority w:val="99"/>
    <w:rsid w:val="00D01478"/>
    <w:rPr>
      <w:lang w:val="en-US" w:eastAsia="en-US"/>
    </w:rPr>
  </w:style>
  <w:style w:type="character" w:styleId="Hyperlink">
    <w:name w:val="Hyperlink"/>
    <w:uiPriority w:val="99"/>
    <w:rsid w:val="00D01478"/>
    <w:rPr>
      <w:color w:val="0000FF"/>
      <w:u w:val="none"/>
    </w:rPr>
  </w:style>
  <w:style w:type="paragraph" w:styleId="Revision">
    <w:name w:val="Revision"/>
    <w:hidden/>
    <w:uiPriority w:val="99"/>
    <w:semiHidden/>
    <w:rsid w:val="001145B9"/>
    <w:rPr>
      <w:lang w:val="en-US" w:eastAsia="en-US"/>
    </w:rPr>
  </w:style>
  <w:style w:type="paragraph" w:styleId="CommentSubject">
    <w:name w:val="annotation subject"/>
    <w:basedOn w:val="CommentText"/>
    <w:next w:val="CommentText"/>
    <w:link w:val="CommentSubjectChar"/>
    <w:rsid w:val="005A190E"/>
    <w:rPr>
      <w:b/>
      <w:bCs/>
    </w:rPr>
  </w:style>
  <w:style w:type="character" w:customStyle="1" w:styleId="CommentTextChar">
    <w:name w:val="Comment Text Char"/>
    <w:basedOn w:val="DefaultParagraphFont"/>
    <w:link w:val="CommentText"/>
    <w:semiHidden/>
    <w:rsid w:val="005A190E"/>
    <w:rPr>
      <w:lang w:val="en-US" w:eastAsia="en-US"/>
    </w:rPr>
  </w:style>
  <w:style w:type="character" w:customStyle="1" w:styleId="CommentSubjectChar">
    <w:name w:val="Comment Subject Char"/>
    <w:basedOn w:val="CommentTextChar"/>
    <w:link w:val="CommentSubject"/>
    <w:rsid w:val="005A190E"/>
    <w:rPr>
      <w:b/>
      <w:bCs/>
      <w:lang w:val="en-US" w:eastAsia="en-US"/>
    </w:rPr>
  </w:style>
  <w:style w:type="character" w:styleId="FollowedHyperlink">
    <w:name w:val="FollowedHyperlink"/>
    <w:basedOn w:val="DefaultParagraphFont"/>
    <w:rsid w:val="0007648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C11F6B"/>
    <w:rPr>
      <w:rFonts w:ascii="Tahoma" w:hAnsi="Tahoma" w:cs="Tahoma"/>
      <w:sz w:val="16"/>
      <w:szCs w:val="16"/>
    </w:rPr>
  </w:style>
  <w:style w:type="table" w:styleId="TableGrid">
    <w:name w:val="Table Grid"/>
    <w:basedOn w:val="TableNormal"/>
    <w:rsid w:val="00A8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E5D15"/>
    <w:rPr>
      <w:b/>
      <w:sz w:val="22"/>
      <w:lang w:val="fr-FR" w:eastAsia="en-US"/>
    </w:rPr>
  </w:style>
  <w:style w:type="paragraph" w:customStyle="1" w:styleId="H1">
    <w:name w:val="_ H_1"/>
    <w:basedOn w:val="Normal"/>
    <w:next w:val="SingleTxt"/>
    <w:qFormat/>
    <w:rsid w:val="00D01478"/>
    <w:pPr>
      <w:keepNext/>
      <w:keepLines/>
      <w:suppressAutoHyphens/>
      <w:spacing w:line="270" w:lineRule="exact"/>
      <w:outlineLvl w:val="0"/>
    </w:pPr>
    <w:rPr>
      <w:rFonts w:eastAsia="Calibri"/>
      <w:b/>
      <w:spacing w:val="4"/>
      <w:w w:val="103"/>
      <w:kern w:val="14"/>
      <w:sz w:val="24"/>
      <w:szCs w:val="22"/>
      <w:lang w:val="fr-CA"/>
    </w:rPr>
  </w:style>
  <w:style w:type="character" w:customStyle="1" w:styleId="FootnoteTextChar">
    <w:name w:val="Footnote Text Char"/>
    <w:link w:val="FootnoteText"/>
    <w:uiPriority w:val="99"/>
    <w:rsid w:val="00D01478"/>
    <w:rPr>
      <w:lang w:val="en-US" w:eastAsia="en-US"/>
    </w:rPr>
  </w:style>
  <w:style w:type="character" w:styleId="Hyperlink">
    <w:name w:val="Hyperlink"/>
    <w:uiPriority w:val="99"/>
    <w:rsid w:val="00D01478"/>
    <w:rPr>
      <w:color w:val="0000FF"/>
      <w:u w:val="none"/>
    </w:rPr>
  </w:style>
  <w:style w:type="paragraph" w:styleId="Revision">
    <w:name w:val="Revision"/>
    <w:hidden/>
    <w:uiPriority w:val="99"/>
    <w:semiHidden/>
    <w:rsid w:val="001145B9"/>
    <w:rPr>
      <w:lang w:val="en-US" w:eastAsia="en-US"/>
    </w:rPr>
  </w:style>
  <w:style w:type="paragraph" w:styleId="CommentSubject">
    <w:name w:val="annotation subject"/>
    <w:basedOn w:val="CommentText"/>
    <w:next w:val="CommentText"/>
    <w:link w:val="CommentSubjectChar"/>
    <w:rsid w:val="005A190E"/>
    <w:rPr>
      <w:b/>
      <w:bCs/>
    </w:rPr>
  </w:style>
  <w:style w:type="character" w:customStyle="1" w:styleId="CommentTextChar">
    <w:name w:val="Comment Text Char"/>
    <w:basedOn w:val="DefaultParagraphFont"/>
    <w:link w:val="CommentText"/>
    <w:semiHidden/>
    <w:rsid w:val="005A190E"/>
    <w:rPr>
      <w:lang w:val="en-US" w:eastAsia="en-US"/>
    </w:rPr>
  </w:style>
  <w:style w:type="character" w:customStyle="1" w:styleId="CommentSubjectChar">
    <w:name w:val="Comment Subject Char"/>
    <w:basedOn w:val="CommentTextChar"/>
    <w:link w:val="CommentSubject"/>
    <w:rsid w:val="005A190E"/>
    <w:rPr>
      <w:b/>
      <w:bCs/>
      <w:lang w:val="en-US" w:eastAsia="en-US"/>
    </w:rPr>
  </w:style>
  <w:style w:type="character" w:styleId="FollowedHyperlink">
    <w:name w:val="FollowedHyperlink"/>
    <w:basedOn w:val="DefaultParagraphFont"/>
    <w:rsid w:val="0007648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ocs.org/fr/A/RES/42/39"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fr/A/71/45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A/RES/62/52"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docs.org/fr/A/RES/44/117"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1/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Frenc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2586-A19A-4D52-8BAF-AB4A937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French_RES.dot</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5232</CharactersWithSpaces>
  <SharedDoc>false</SharedDoc>
  <HLinks>
    <vt:vector size="24" baseType="variant">
      <vt:variant>
        <vt:i4>1245272</vt:i4>
      </vt:variant>
      <vt:variant>
        <vt:i4>6</vt:i4>
      </vt:variant>
      <vt:variant>
        <vt:i4>0</vt:i4>
      </vt:variant>
      <vt:variant>
        <vt:i4>5</vt:i4>
      </vt:variant>
      <vt:variant>
        <vt:lpwstr>http://undocs.org/fr/A/RES/62/52</vt:lpwstr>
      </vt:variant>
      <vt:variant>
        <vt:lpwstr/>
      </vt:variant>
      <vt:variant>
        <vt:i4>1179738</vt:i4>
      </vt:variant>
      <vt:variant>
        <vt:i4>3</vt:i4>
      </vt:variant>
      <vt:variant>
        <vt:i4>0</vt:i4>
      </vt:variant>
      <vt:variant>
        <vt:i4>5</vt:i4>
      </vt:variant>
      <vt:variant>
        <vt:lpwstr>http://undocs.org/fr/A/RES/44/117</vt:lpwstr>
      </vt:variant>
      <vt:variant>
        <vt:lpwstr/>
      </vt:variant>
      <vt:variant>
        <vt:i4>1704030</vt:i4>
      </vt:variant>
      <vt:variant>
        <vt:i4>0</vt:i4>
      </vt:variant>
      <vt:variant>
        <vt:i4>0</vt:i4>
      </vt:variant>
      <vt:variant>
        <vt:i4>5</vt:i4>
      </vt:variant>
      <vt:variant>
        <vt:lpwstr>http://undocs.org/fr/A/RES/42/39</vt:lpwstr>
      </vt:variant>
      <vt:variant>
        <vt:lpwstr/>
      </vt:variant>
      <vt:variant>
        <vt:i4>1179743</vt:i4>
      </vt:variant>
      <vt:variant>
        <vt:i4>0</vt:i4>
      </vt:variant>
      <vt:variant>
        <vt:i4>0</vt:i4>
      </vt:variant>
      <vt:variant>
        <vt:i4>5</vt:i4>
      </vt:variant>
      <vt:variant>
        <vt:lpwstr>http://undocs.org/fr/A/RES/71/125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Christiane Leboeuf</dc:creator>
  <cp:lastModifiedBy>FTPU.FrontDesk1-by Window</cp:lastModifiedBy>
  <cp:revision>4</cp:revision>
  <cp:lastPrinted>2016-12-21T16:52:00Z</cp:lastPrinted>
  <dcterms:created xsi:type="dcterms:W3CDTF">2016-12-21T16:52:00Z</dcterms:created>
  <dcterms:modified xsi:type="dcterms:W3CDTF">2016-12-21T16:53:00Z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1621235F</vt:lpwstr>
  </property>
  <property fmtid="{D5CDD505-2E9C-101B-9397-08002B2CF9AE}" pid="3" name="ODSRefJobNo">
    <vt:lpwstr>1642416F</vt:lpwstr>
  </property>
  <property fmtid="{D5CDD505-2E9C-101B-9397-08002B2CF9AE}" pid="4" name="Symbol1">
    <vt:lpwstr>A/RES/71/78</vt:lpwstr>
  </property>
  <property fmtid="{D5CDD505-2E9C-101B-9397-08002B2CF9AE}" pid="5" name="Symbol2">
    <vt:lpwstr/>
  </property>
</Properties>
</file>