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96"/>
        <w:gridCol w:w="2799"/>
      </w:tblGrid>
      <w:tr w:rsidR="009E6CB7" w:rsidRPr="001F09D9" w14:paraId="637E5A33" w14:textId="77777777" w:rsidTr="009E6CB7">
        <w:trPr>
          <w:cantSplit/>
          <w:trHeight w:hRule="exact" w:val="851"/>
        </w:trPr>
        <w:tc>
          <w:tcPr>
            <w:tcW w:w="1276" w:type="dxa"/>
            <w:tcBorders>
              <w:bottom w:val="single" w:sz="4" w:space="0" w:color="auto"/>
            </w:tcBorders>
            <w:vAlign w:val="bottom"/>
          </w:tcPr>
          <w:p w14:paraId="3D3BB93D" w14:textId="77777777" w:rsidR="009E6CB7" w:rsidRPr="001F09D9" w:rsidRDefault="009E6CB7" w:rsidP="009E6CB7">
            <w:pPr>
              <w:spacing w:after="80"/>
            </w:pPr>
          </w:p>
        </w:tc>
        <w:tc>
          <w:tcPr>
            <w:tcW w:w="2268" w:type="dxa"/>
            <w:tcBorders>
              <w:bottom w:val="single" w:sz="4" w:space="0" w:color="auto"/>
            </w:tcBorders>
            <w:vAlign w:val="bottom"/>
          </w:tcPr>
          <w:p w14:paraId="373E32C6" w14:textId="77777777" w:rsidR="009E6CB7" w:rsidRPr="001F09D9" w:rsidRDefault="009E6CB7" w:rsidP="009E6CB7">
            <w:pPr>
              <w:spacing w:after="80" w:line="300" w:lineRule="exact"/>
              <w:rPr>
                <w:b/>
                <w:sz w:val="24"/>
                <w:szCs w:val="24"/>
              </w:rPr>
            </w:pPr>
            <w:r w:rsidRPr="001F09D9">
              <w:rPr>
                <w:sz w:val="28"/>
                <w:szCs w:val="28"/>
              </w:rPr>
              <w:t>United Nations</w:t>
            </w:r>
          </w:p>
        </w:tc>
        <w:tc>
          <w:tcPr>
            <w:tcW w:w="6095" w:type="dxa"/>
            <w:gridSpan w:val="2"/>
            <w:tcBorders>
              <w:bottom w:val="single" w:sz="4" w:space="0" w:color="auto"/>
            </w:tcBorders>
            <w:vAlign w:val="bottom"/>
          </w:tcPr>
          <w:p w14:paraId="682EB90F" w14:textId="52069C95" w:rsidR="00491B8D" w:rsidRPr="001F09D9" w:rsidRDefault="00491B8D" w:rsidP="0056197D">
            <w:pPr>
              <w:jc w:val="right"/>
            </w:pPr>
            <w:r w:rsidRPr="001F09D9">
              <w:rPr>
                <w:sz w:val="40"/>
              </w:rPr>
              <w:t>ECE</w:t>
            </w:r>
            <w:r w:rsidRPr="001F09D9">
              <w:t>/MP.WH/C.1/201</w:t>
            </w:r>
            <w:r w:rsidR="0056197D" w:rsidRPr="001F09D9">
              <w:t>8</w:t>
            </w:r>
            <w:r w:rsidRPr="001F09D9">
              <w:t>/</w:t>
            </w:r>
            <w:r w:rsidR="007660C0">
              <w:t>3</w:t>
            </w:r>
            <w:r w:rsidRPr="001F09D9">
              <w:t>−</w:t>
            </w:r>
            <w:r w:rsidR="00636681" w:rsidRPr="001F09D9">
              <w:rPr>
                <w:sz w:val="40"/>
              </w:rPr>
              <w:t>EUPCR</w:t>
            </w:r>
            <w:r w:rsidR="00636681" w:rsidRPr="001F09D9">
              <w:t>/1611921/2.1/201</w:t>
            </w:r>
            <w:r w:rsidR="0056197D" w:rsidRPr="001F09D9">
              <w:t>8</w:t>
            </w:r>
            <w:r w:rsidR="00636681" w:rsidRPr="001F09D9">
              <w:t>/CC</w:t>
            </w:r>
            <w:r w:rsidR="0021745D">
              <w:t>2</w:t>
            </w:r>
            <w:r w:rsidR="00636681" w:rsidRPr="001F09D9">
              <w:t>/03</w:t>
            </w:r>
          </w:p>
        </w:tc>
      </w:tr>
      <w:tr w:rsidR="009E6CB7" w:rsidRPr="001F09D9" w14:paraId="579BD48B" w14:textId="77777777" w:rsidTr="007D7E62">
        <w:trPr>
          <w:cantSplit/>
          <w:trHeight w:hRule="exact" w:val="2835"/>
        </w:trPr>
        <w:tc>
          <w:tcPr>
            <w:tcW w:w="1276" w:type="dxa"/>
            <w:tcBorders>
              <w:top w:val="single" w:sz="4" w:space="0" w:color="auto"/>
              <w:bottom w:val="single" w:sz="12" w:space="0" w:color="auto"/>
            </w:tcBorders>
          </w:tcPr>
          <w:p w14:paraId="015749FF" w14:textId="77777777" w:rsidR="009E6CB7" w:rsidRPr="001F09D9" w:rsidRDefault="00BC7F91" w:rsidP="009E6CB7">
            <w:pPr>
              <w:spacing w:before="120"/>
            </w:pPr>
            <w:r w:rsidRPr="001F09D9">
              <w:rPr>
                <w:noProof/>
                <w:lang w:eastAsia="zh-CN"/>
              </w:rPr>
              <w:drawing>
                <wp:inline distT="0" distB="0" distL="0" distR="0" wp14:anchorId="6353A727" wp14:editId="1B407FE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64" w:type="dxa"/>
            <w:gridSpan w:val="2"/>
            <w:tcBorders>
              <w:top w:val="single" w:sz="4" w:space="0" w:color="auto"/>
              <w:bottom w:val="single" w:sz="12" w:space="0" w:color="auto"/>
            </w:tcBorders>
          </w:tcPr>
          <w:p w14:paraId="0CBE6B98" w14:textId="77777777" w:rsidR="009E6CB7" w:rsidRPr="003071AA" w:rsidRDefault="009E6CB7" w:rsidP="009E6CB7">
            <w:pPr>
              <w:spacing w:before="120" w:line="420" w:lineRule="exact"/>
              <w:rPr>
                <w:sz w:val="40"/>
                <w:szCs w:val="40"/>
              </w:rPr>
            </w:pPr>
            <w:r w:rsidRPr="003071AA">
              <w:rPr>
                <w:b/>
                <w:sz w:val="40"/>
                <w:szCs w:val="40"/>
              </w:rPr>
              <w:t>Economic and Social Council</w:t>
            </w:r>
          </w:p>
        </w:tc>
        <w:tc>
          <w:tcPr>
            <w:tcW w:w="2799" w:type="dxa"/>
            <w:tcBorders>
              <w:top w:val="single" w:sz="4" w:space="0" w:color="auto"/>
              <w:bottom w:val="single" w:sz="12" w:space="0" w:color="auto"/>
            </w:tcBorders>
          </w:tcPr>
          <w:p w14:paraId="0032634A" w14:textId="77777777" w:rsidR="009E6CB7" w:rsidRPr="003071AA" w:rsidRDefault="00491B8D" w:rsidP="00491B8D">
            <w:pPr>
              <w:spacing w:before="240" w:line="240" w:lineRule="exact"/>
            </w:pPr>
            <w:r w:rsidRPr="003071AA">
              <w:t>Distr.: General</w:t>
            </w:r>
          </w:p>
          <w:p w14:paraId="2817CE49" w14:textId="1EE0BD3E" w:rsidR="00491B8D" w:rsidRPr="003071AA" w:rsidRDefault="00943911" w:rsidP="00491B8D">
            <w:pPr>
              <w:spacing w:line="240" w:lineRule="exact"/>
            </w:pPr>
            <w:r w:rsidRPr="003071AA">
              <w:t>27</w:t>
            </w:r>
            <w:r w:rsidR="00FA5739" w:rsidRPr="003071AA">
              <w:t xml:space="preserve"> </w:t>
            </w:r>
            <w:r w:rsidR="007660C0" w:rsidRPr="003071AA">
              <w:t>August 2018</w:t>
            </w:r>
          </w:p>
          <w:p w14:paraId="345191CA" w14:textId="7544C76E" w:rsidR="00491B8D" w:rsidRPr="003071AA" w:rsidRDefault="00491B8D" w:rsidP="00491B8D">
            <w:pPr>
              <w:spacing w:line="240" w:lineRule="exact"/>
            </w:pPr>
          </w:p>
          <w:p w14:paraId="5DE2E7E7" w14:textId="117A1743" w:rsidR="008255A3" w:rsidRPr="003071AA" w:rsidRDefault="00491B8D" w:rsidP="008255A3">
            <w:pPr>
              <w:spacing w:line="240" w:lineRule="exact"/>
            </w:pPr>
            <w:r w:rsidRPr="003071AA">
              <w:t>Original: English</w:t>
            </w:r>
            <w:r w:rsidR="00F155E1" w:rsidRPr="003071AA">
              <w:t xml:space="preserve"> </w:t>
            </w:r>
          </w:p>
          <w:p w14:paraId="3852B2A2" w14:textId="799A2B25" w:rsidR="00433D2B" w:rsidRPr="003071AA" w:rsidRDefault="00433D2B" w:rsidP="00491B8D">
            <w:pPr>
              <w:spacing w:line="240" w:lineRule="exact"/>
            </w:pPr>
          </w:p>
        </w:tc>
      </w:tr>
    </w:tbl>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4253"/>
      </w:tblGrid>
      <w:tr w:rsidR="00491B8D" w:rsidRPr="001F09D9" w14:paraId="474BE0AB" w14:textId="77777777" w:rsidTr="00433D2B">
        <w:tc>
          <w:tcPr>
            <w:tcW w:w="5387" w:type="dxa"/>
            <w:tcBorders>
              <w:top w:val="nil"/>
              <w:left w:val="nil"/>
              <w:bottom w:val="nil"/>
              <w:right w:val="nil"/>
            </w:tcBorders>
            <w:tcMar>
              <w:left w:w="0" w:type="dxa"/>
              <w:right w:w="57" w:type="dxa"/>
            </w:tcMar>
          </w:tcPr>
          <w:p w14:paraId="1035B902" w14:textId="77777777" w:rsidR="00491B8D" w:rsidRPr="001F09D9" w:rsidRDefault="00491B8D" w:rsidP="00433D2B">
            <w:pPr>
              <w:spacing w:before="120"/>
              <w:rPr>
                <w:b/>
                <w:bCs/>
              </w:rPr>
            </w:pPr>
            <w:r w:rsidRPr="001F09D9">
              <w:rPr>
                <w:b/>
                <w:sz w:val="28"/>
                <w:szCs w:val="28"/>
              </w:rPr>
              <w:t>Economic Commission for Europe</w:t>
            </w:r>
          </w:p>
        </w:tc>
        <w:tc>
          <w:tcPr>
            <w:tcW w:w="4253" w:type="dxa"/>
            <w:tcBorders>
              <w:top w:val="nil"/>
              <w:left w:val="nil"/>
              <w:bottom w:val="nil"/>
              <w:right w:val="nil"/>
            </w:tcBorders>
            <w:tcMar>
              <w:right w:w="0" w:type="dxa"/>
            </w:tcMar>
          </w:tcPr>
          <w:p w14:paraId="78073367" w14:textId="77777777" w:rsidR="00491B8D" w:rsidRPr="001F09D9" w:rsidRDefault="00491B8D" w:rsidP="00433D2B">
            <w:pPr>
              <w:tabs>
                <w:tab w:val="left" w:pos="6240"/>
              </w:tabs>
              <w:spacing w:before="120"/>
              <w:rPr>
                <w:b/>
                <w:bCs/>
                <w:sz w:val="28"/>
                <w:szCs w:val="28"/>
              </w:rPr>
            </w:pPr>
            <w:r w:rsidRPr="001F09D9">
              <w:rPr>
                <w:b/>
                <w:bCs/>
                <w:sz w:val="28"/>
                <w:szCs w:val="28"/>
              </w:rPr>
              <w:t>World Health Organization</w:t>
            </w:r>
            <w:r w:rsidRPr="001F09D9">
              <w:rPr>
                <w:b/>
                <w:bCs/>
                <w:sz w:val="28"/>
                <w:szCs w:val="28"/>
              </w:rPr>
              <w:br/>
              <w:t>Regional Office for Europe</w:t>
            </w:r>
          </w:p>
        </w:tc>
      </w:tr>
      <w:tr w:rsidR="00491B8D" w:rsidRPr="001F09D9" w14:paraId="62974D13" w14:textId="77777777" w:rsidTr="00433D2B">
        <w:tc>
          <w:tcPr>
            <w:tcW w:w="5387" w:type="dxa"/>
            <w:tcBorders>
              <w:top w:val="nil"/>
              <w:left w:val="nil"/>
              <w:bottom w:val="nil"/>
              <w:right w:val="nil"/>
            </w:tcBorders>
            <w:tcMar>
              <w:left w:w="0" w:type="dxa"/>
              <w:right w:w="57" w:type="dxa"/>
            </w:tcMar>
          </w:tcPr>
          <w:p w14:paraId="44F6C97A" w14:textId="77777777" w:rsidR="00491B8D" w:rsidRPr="001F09D9" w:rsidRDefault="00491B8D" w:rsidP="00433D2B">
            <w:pPr>
              <w:spacing w:before="120"/>
              <w:rPr>
                <w:bCs/>
                <w:sz w:val="28"/>
                <w:szCs w:val="28"/>
              </w:rPr>
            </w:pPr>
            <w:r w:rsidRPr="001F09D9">
              <w:rPr>
                <w:bCs/>
                <w:sz w:val="28"/>
                <w:szCs w:val="28"/>
              </w:rPr>
              <w:t>Meeting of the Parties to the Protocol on</w:t>
            </w:r>
            <w:r w:rsidRPr="001F09D9">
              <w:rPr>
                <w:bCs/>
                <w:sz w:val="28"/>
                <w:szCs w:val="28"/>
              </w:rPr>
              <w:br/>
              <w:t>Water and Health to the Convention on</w:t>
            </w:r>
            <w:r w:rsidRPr="001F09D9">
              <w:rPr>
                <w:bCs/>
                <w:sz w:val="28"/>
                <w:szCs w:val="28"/>
              </w:rPr>
              <w:br/>
              <w:t>the Protection and Use of Transboundary Watercourses and International Lakes</w:t>
            </w:r>
          </w:p>
        </w:tc>
        <w:tc>
          <w:tcPr>
            <w:tcW w:w="4253" w:type="dxa"/>
            <w:tcBorders>
              <w:top w:val="nil"/>
              <w:left w:val="nil"/>
              <w:bottom w:val="nil"/>
              <w:right w:val="nil"/>
            </w:tcBorders>
            <w:tcMar>
              <w:right w:w="57" w:type="dxa"/>
            </w:tcMar>
          </w:tcPr>
          <w:p w14:paraId="4A9C207E" w14:textId="77777777" w:rsidR="00491B8D" w:rsidRPr="001F09D9" w:rsidRDefault="00491B8D" w:rsidP="00433D2B">
            <w:pPr>
              <w:tabs>
                <w:tab w:val="left" w:pos="6240"/>
              </w:tabs>
              <w:spacing w:after="240"/>
              <w:rPr>
                <w:b/>
                <w:bCs/>
              </w:rPr>
            </w:pPr>
          </w:p>
        </w:tc>
      </w:tr>
      <w:tr w:rsidR="00491B8D" w:rsidRPr="001F09D9" w14:paraId="6146E654" w14:textId="77777777" w:rsidTr="00433D2B">
        <w:tc>
          <w:tcPr>
            <w:tcW w:w="5387" w:type="dxa"/>
            <w:tcBorders>
              <w:top w:val="nil"/>
              <w:left w:val="nil"/>
              <w:bottom w:val="nil"/>
              <w:right w:val="nil"/>
            </w:tcBorders>
            <w:tcMar>
              <w:left w:w="0" w:type="dxa"/>
              <w:right w:w="57" w:type="dxa"/>
            </w:tcMar>
          </w:tcPr>
          <w:p w14:paraId="6174C0CB" w14:textId="77777777" w:rsidR="00491B8D" w:rsidRPr="001F09D9" w:rsidRDefault="00491B8D" w:rsidP="00433D2B">
            <w:pPr>
              <w:spacing w:before="120"/>
              <w:rPr>
                <w:b/>
                <w:sz w:val="24"/>
                <w:szCs w:val="24"/>
              </w:rPr>
            </w:pPr>
            <w:r w:rsidRPr="001F09D9">
              <w:rPr>
                <w:b/>
                <w:sz w:val="24"/>
                <w:szCs w:val="24"/>
              </w:rPr>
              <w:t>Compliance Committee</w:t>
            </w:r>
          </w:p>
        </w:tc>
        <w:tc>
          <w:tcPr>
            <w:tcW w:w="4253" w:type="dxa"/>
            <w:tcBorders>
              <w:top w:val="nil"/>
              <w:left w:val="nil"/>
              <w:bottom w:val="nil"/>
              <w:right w:val="nil"/>
            </w:tcBorders>
            <w:tcMar>
              <w:right w:w="57" w:type="dxa"/>
            </w:tcMar>
          </w:tcPr>
          <w:p w14:paraId="5715255B" w14:textId="77777777" w:rsidR="00491B8D" w:rsidRPr="001F09D9" w:rsidRDefault="00491B8D" w:rsidP="00433D2B">
            <w:pPr>
              <w:tabs>
                <w:tab w:val="left" w:pos="6240"/>
              </w:tabs>
              <w:spacing w:before="120"/>
              <w:rPr>
                <w:b/>
                <w:bCs/>
              </w:rPr>
            </w:pPr>
          </w:p>
        </w:tc>
      </w:tr>
      <w:tr w:rsidR="00491B8D" w:rsidRPr="001F09D9" w14:paraId="0AB6B563" w14:textId="77777777" w:rsidTr="00433D2B">
        <w:tc>
          <w:tcPr>
            <w:tcW w:w="5387" w:type="dxa"/>
            <w:tcBorders>
              <w:top w:val="nil"/>
              <w:left w:val="nil"/>
              <w:bottom w:val="nil"/>
              <w:right w:val="nil"/>
            </w:tcBorders>
            <w:tcMar>
              <w:left w:w="0" w:type="dxa"/>
              <w:right w:w="57" w:type="dxa"/>
            </w:tcMar>
          </w:tcPr>
          <w:p w14:paraId="77FF0F49" w14:textId="6D1A0821" w:rsidR="00491B8D" w:rsidRPr="001F09D9" w:rsidRDefault="0056197D" w:rsidP="00433D2B">
            <w:pPr>
              <w:spacing w:before="120"/>
              <w:rPr>
                <w:b/>
              </w:rPr>
            </w:pPr>
            <w:r w:rsidRPr="001F09D9">
              <w:rPr>
                <w:b/>
              </w:rPr>
              <w:t>S</w:t>
            </w:r>
            <w:r w:rsidR="0021745D">
              <w:rPr>
                <w:b/>
              </w:rPr>
              <w:t>even</w:t>
            </w:r>
            <w:r w:rsidR="00491B8D" w:rsidRPr="001F09D9">
              <w:rPr>
                <w:b/>
              </w:rPr>
              <w:t>teenth meeting</w:t>
            </w:r>
          </w:p>
          <w:p w14:paraId="0EFA5D82" w14:textId="6B48E345" w:rsidR="00491B8D" w:rsidRPr="001F09D9" w:rsidRDefault="00491B8D" w:rsidP="00433D2B">
            <w:r w:rsidRPr="001F09D9">
              <w:t xml:space="preserve">Geneva, </w:t>
            </w:r>
            <w:r w:rsidR="0021745D">
              <w:t>5</w:t>
            </w:r>
            <w:r w:rsidR="00C40269" w:rsidRPr="001F09D9">
              <w:t xml:space="preserve"> and </w:t>
            </w:r>
            <w:r w:rsidR="0021745D">
              <w:t>6 November</w:t>
            </w:r>
            <w:r w:rsidR="0056197D" w:rsidRPr="001F09D9">
              <w:t xml:space="preserve"> 2018</w:t>
            </w:r>
            <w:r w:rsidRPr="001F09D9">
              <w:br/>
              <w:t xml:space="preserve">Item </w:t>
            </w:r>
            <w:r w:rsidR="008255A3" w:rsidRPr="001F09D9">
              <w:t>1</w:t>
            </w:r>
            <w:r w:rsidRPr="001F09D9">
              <w:t xml:space="preserve"> of the provisional agenda </w:t>
            </w:r>
          </w:p>
          <w:p w14:paraId="35E1EC9D" w14:textId="77777777" w:rsidR="00491B8D" w:rsidRPr="001F09D9" w:rsidRDefault="00491B8D" w:rsidP="00433D2B">
            <w:pPr>
              <w:rPr>
                <w:b/>
              </w:rPr>
            </w:pPr>
            <w:r w:rsidRPr="001F09D9">
              <w:rPr>
                <w:b/>
              </w:rPr>
              <w:t>Adoption of the agenda</w:t>
            </w:r>
          </w:p>
        </w:tc>
        <w:tc>
          <w:tcPr>
            <w:tcW w:w="4253" w:type="dxa"/>
            <w:tcBorders>
              <w:top w:val="nil"/>
              <w:left w:val="nil"/>
              <w:bottom w:val="nil"/>
              <w:right w:val="nil"/>
            </w:tcBorders>
            <w:tcMar>
              <w:right w:w="57" w:type="dxa"/>
            </w:tcMar>
          </w:tcPr>
          <w:p w14:paraId="373F1934" w14:textId="77777777" w:rsidR="00491B8D" w:rsidRPr="001F09D9" w:rsidRDefault="00491B8D" w:rsidP="00433D2B">
            <w:pPr>
              <w:tabs>
                <w:tab w:val="left" w:pos="6240"/>
              </w:tabs>
              <w:spacing w:before="120"/>
              <w:rPr>
                <w:b/>
                <w:bCs/>
              </w:rPr>
            </w:pPr>
          </w:p>
        </w:tc>
      </w:tr>
    </w:tbl>
    <w:p w14:paraId="1E59541C" w14:textId="19301C4A" w:rsidR="00491B8D" w:rsidRPr="001F09D9" w:rsidRDefault="00491B8D" w:rsidP="00491B8D">
      <w:pPr>
        <w:pStyle w:val="HChG"/>
      </w:pPr>
      <w:r w:rsidRPr="001F09D9">
        <w:tab/>
      </w:r>
      <w:r w:rsidRPr="001F09D9">
        <w:tab/>
        <w:t xml:space="preserve">Annotated provisional agenda for the </w:t>
      </w:r>
      <w:r w:rsidR="0056197D" w:rsidRPr="001F09D9">
        <w:t>s</w:t>
      </w:r>
      <w:r w:rsidR="0021745D">
        <w:t>even</w:t>
      </w:r>
      <w:r w:rsidRPr="001F09D9">
        <w:t>teenth meeting</w:t>
      </w:r>
    </w:p>
    <w:p w14:paraId="63FC720A" w14:textId="4A630DE7" w:rsidR="00491B8D" w:rsidRPr="001F09D9" w:rsidRDefault="00491B8D" w:rsidP="00491B8D">
      <w:pPr>
        <w:pStyle w:val="H1G"/>
      </w:pPr>
      <w:r w:rsidRPr="001F09D9">
        <w:tab/>
      </w:r>
      <w:r w:rsidRPr="001F09D9">
        <w:tab/>
        <w:t xml:space="preserve">To be held at the Palais des Nations, Geneva, starting on </w:t>
      </w:r>
      <w:r w:rsidRPr="001F09D9">
        <w:br/>
      </w:r>
      <w:r w:rsidR="0021745D">
        <w:t>Monday</w:t>
      </w:r>
      <w:r w:rsidRPr="001F09D9">
        <w:t xml:space="preserve">, </w:t>
      </w:r>
      <w:r w:rsidR="0021745D">
        <w:t>5 November</w:t>
      </w:r>
      <w:r w:rsidR="0056197D" w:rsidRPr="001F09D9">
        <w:t xml:space="preserve"> 2018</w:t>
      </w:r>
      <w:r w:rsidRPr="001F09D9">
        <w:t>, at 10 a.m.</w:t>
      </w:r>
      <w:r w:rsidR="00802E97" w:rsidRPr="001F09D9">
        <w:rPr>
          <w:rStyle w:val="FootnoteReference"/>
          <w:sz w:val="20"/>
          <w:vertAlign w:val="baseline"/>
        </w:rPr>
        <w:footnoteReference w:customMarkFollows="1" w:id="2"/>
        <w:t>*</w:t>
      </w:r>
    </w:p>
    <w:p w14:paraId="66AFC87D" w14:textId="77777777" w:rsidR="00491B8D" w:rsidRPr="001F09D9" w:rsidRDefault="00491B8D" w:rsidP="00491B8D">
      <w:pPr>
        <w:pStyle w:val="HChG"/>
      </w:pPr>
      <w:r w:rsidRPr="001F09D9">
        <w:tab/>
        <w:t>I.</w:t>
      </w:r>
      <w:r w:rsidRPr="001F09D9">
        <w:tab/>
        <w:t>Provisional agenda</w:t>
      </w:r>
    </w:p>
    <w:p w14:paraId="49DA128D" w14:textId="10E9301C" w:rsidR="00491B8D" w:rsidRPr="001F09D9" w:rsidRDefault="001619FE" w:rsidP="00491B8D">
      <w:pPr>
        <w:pStyle w:val="SingleTxtG"/>
      </w:pPr>
      <w:r w:rsidRPr="001F09D9">
        <w:t>1</w:t>
      </w:r>
      <w:r w:rsidR="00EC0D9B" w:rsidRPr="001F09D9">
        <w:t>.</w:t>
      </w:r>
      <w:r w:rsidR="00EC0D9B" w:rsidRPr="001F09D9">
        <w:tab/>
      </w:r>
      <w:r w:rsidR="00491B8D" w:rsidRPr="001F09D9">
        <w:t>Adoption of the agenda.</w:t>
      </w:r>
      <w:r w:rsidR="0056197D" w:rsidRPr="001F09D9">
        <w:t xml:space="preserve"> </w:t>
      </w:r>
    </w:p>
    <w:p w14:paraId="3FBB47E3" w14:textId="2FA5F808" w:rsidR="00A17F35" w:rsidRPr="001F09D9" w:rsidRDefault="001619FE" w:rsidP="005A07C4">
      <w:pPr>
        <w:pStyle w:val="SingleTxtG"/>
      </w:pPr>
      <w:r w:rsidRPr="001F09D9">
        <w:t>2</w:t>
      </w:r>
      <w:r w:rsidR="00491B8D" w:rsidRPr="001F09D9">
        <w:t>.</w:t>
      </w:r>
      <w:r w:rsidR="00491B8D" w:rsidRPr="001F09D9">
        <w:tab/>
        <w:t>Consideration of submissions, referrals and communications.</w:t>
      </w:r>
    </w:p>
    <w:p w14:paraId="0B5A16F9" w14:textId="4868A887" w:rsidR="00491B8D" w:rsidRPr="001F09D9" w:rsidRDefault="0006795E" w:rsidP="00802E97">
      <w:pPr>
        <w:pStyle w:val="SingleTxtG"/>
        <w:ind w:left="1701" w:hanging="567"/>
        <w:rPr>
          <w:highlight w:val="yellow"/>
        </w:rPr>
      </w:pPr>
      <w:r w:rsidRPr="001F09D9">
        <w:t>3.</w:t>
      </w:r>
      <w:r w:rsidRPr="001F09D9">
        <w:tab/>
      </w:r>
      <w:r w:rsidR="00D205E2" w:rsidRPr="001F09D9">
        <w:t>Review of compliance with the obligation to set targets and target dates under the Protocol</w:t>
      </w:r>
      <w:r w:rsidR="006C3FC4" w:rsidRPr="001F09D9">
        <w:t>.</w:t>
      </w:r>
    </w:p>
    <w:p w14:paraId="21C5F713" w14:textId="72160E58" w:rsidR="00FE0337" w:rsidRPr="001F09D9" w:rsidRDefault="0056197D" w:rsidP="00802E97">
      <w:pPr>
        <w:pStyle w:val="SingleTxtG"/>
        <w:ind w:left="1701" w:hanging="567"/>
      </w:pPr>
      <w:r w:rsidRPr="001F09D9">
        <w:lastRenderedPageBreak/>
        <w:t>4</w:t>
      </w:r>
      <w:r w:rsidR="005F4DC1" w:rsidRPr="001F09D9">
        <w:t>.</w:t>
      </w:r>
      <w:r w:rsidR="005F4DC1" w:rsidRPr="001F09D9">
        <w:tab/>
      </w:r>
      <w:r w:rsidR="00D205E2" w:rsidRPr="001F09D9">
        <w:t>Consultation Process</w:t>
      </w:r>
      <w:r w:rsidR="00FE0337" w:rsidRPr="001F09D9">
        <w:t>.</w:t>
      </w:r>
    </w:p>
    <w:p w14:paraId="1A3002D6" w14:textId="633EAA59" w:rsidR="00491B8D" w:rsidRPr="001F09D9" w:rsidRDefault="0056197D" w:rsidP="005F4DC1">
      <w:pPr>
        <w:pStyle w:val="SingleTxtG"/>
      </w:pPr>
      <w:r w:rsidRPr="001F09D9">
        <w:t>5</w:t>
      </w:r>
      <w:r w:rsidR="00491B8D" w:rsidRPr="001F09D9">
        <w:t>.</w:t>
      </w:r>
      <w:r w:rsidR="00491B8D" w:rsidRPr="001F09D9">
        <w:tab/>
      </w:r>
      <w:r w:rsidR="004E1FF6" w:rsidRPr="001F09D9">
        <w:t>Awareness</w:t>
      </w:r>
      <w:r w:rsidR="00637F07" w:rsidRPr="001F09D9">
        <w:t>-</w:t>
      </w:r>
      <w:r w:rsidR="004E1FF6" w:rsidRPr="001F09D9">
        <w:t>raising on</w:t>
      </w:r>
      <w:r w:rsidR="00FF580D" w:rsidRPr="001F09D9">
        <w:t xml:space="preserve"> the compliance procedure</w:t>
      </w:r>
      <w:r w:rsidR="00491B8D" w:rsidRPr="001F09D9">
        <w:t>.</w:t>
      </w:r>
    </w:p>
    <w:p w14:paraId="01E84A8A" w14:textId="47FB0423" w:rsidR="009608DB" w:rsidRDefault="0056197D" w:rsidP="00491B8D">
      <w:pPr>
        <w:pStyle w:val="SingleTxtG"/>
      </w:pPr>
      <w:r w:rsidRPr="001F09D9">
        <w:t>6</w:t>
      </w:r>
      <w:r w:rsidR="00491B8D" w:rsidRPr="001F09D9">
        <w:t>.</w:t>
      </w:r>
      <w:r w:rsidR="00491B8D" w:rsidRPr="001F09D9">
        <w:tab/>
      </w:r>
      <w:r w:rsidR="009608DB" w:rsidRPr="009608DB">
        <w:t xml:space="preserve">Report </w:t>
      </w:r>
      <w:r w:rsidR="00EA3520">
        <w:t>of</w:t>
      </w:r>
      <w:r w:rsidR="00EA3520" w:rsidRPr="009608DB">
        <w:t xml:space="preserve"> </w:t>
      </w:r>
      <w:r w:rsidR="009608DB" w:rsidRPr="009608DB">
        <w:t>the Committee to the Meeting of the Parties at its fifth session</w:t>
      </w:r>
      <w:r w:rsidR="009608DB">
        <w:t>.</w:t>
      </w:r>
    </w:p>
    <w:p w14:paraId="3EE97DF2" w14:textId="3A50DF1F" w:rsidR="00491B8D" w:rsidRPr="001F09D9" w:rsidRDefault="009608DB" w:rsidP="00491B8D">
      <w:pPr>
        <w:pStyle w:val="SingleTxtG"/>
      </w:pPr>
      <w:r>
        <w:t>7.</w:t>
      </w:r>
      <w:r>
        <w:tab/>
      </w:r>
      <w:r w:rsidR="00491B8D" w:rsidRPr="001F09D9">
        <w:t>Programme of work and calendar of future meetings.</w:t>
      </w:r>
    </w:p>
    <w:p w14:paraId="43F52708" w14:textId="695694C4" w:rsidR="0056197D" w:rsidRPr="001F09D9" w:rsidRDefault="009608DB" w:rsidP="00102A8C">
      <w:pPr>
        <w:pStyle w:val="SingleTxtG"/>
        <w:ind w:left="1689" w:hanging="555"/>
      </w:pPr>
      <w:r>
        <w:t>8</w:t>
      </w:r>
      <w:r w:rsidR="0056197D" w:rsidRPr="001F09D9">
        <w:t>.</w:t>
      </w:r>
      <w:r w:rsidR="0056197D" w:rsidRPr="001F09D9">
        <w:tab/>
      </w:r>
      <w:r w:rsidR="00D27437" w:rsidRPr="001F09D9">
        <w:t>Other business.</w:t>
      </w:r>
      <w:r w:rsidR="00D27437" w:rsidRPr="00D27437">
        <w:t xml:space="preserve"> </w:t>
      </w:r>
    </w:p>
    <w:p w14:paraId="1E917B37" w14:textId="4F8B81F2" w:rsidR="00491B8D" w:rsidRPr="001F09D9" w:rsidRDefault="009608DB" w:rsidP="00F02FFC">
      <w:pPr>
        <w:pStyle w:val="SingleTxtG"/>
        <w:ind w:left="1689" w:hanging="555"/>
      </w:pPr>
      <w:r>
        <w:t>9</w:t>
      </w:r>
      <w:r w:rsidR="00491B8D" w:rsidRPr="001F09D9">
        <w:t>.</w:t>
      </w:r>
      <w:r w:rsidR="00491B8D" w:rsidRPr="001F09D9">
        <w:tab/>
      </w:r>
      <w:r w:rsidR="0021745D" w:rsidRPr="001F09D9">
        <w:t>Adoption of the report</w:t>
      </w:r>
      <w:r w:rsidR="00D27437" w:rsidRPr="001F09D9">
        <w:t>.</w:t>
      </w:r>
    </w:p>
    <w:p w14:paraId="3F37243F" w14:textId="77777777" w:rsidR="00491B8D" w:rsidRPr="001F09D9" w:rsidRDefault="00491B8D" w:rsidP="00943911">
      <w:pPr>
        <w:pStyle w:val="HChG"/>
      </w:pPr>
      <w:r w:rsidRPr="001F09D9">
        <w:tab/>
        <w:t>II.</w:t>
      </w:r>
      <w:r w:rsidRPr="001F09D9">
        <w:tab/>
        <w:t>Annotations</w:t>
      </w:r>
    </w:p>
    <w:p w14:paraId="6687C414" w14:textId="48298997" w:rsidR="00491B8D" w:rsidRPr="001F09D9" w:rsidRDefault="00C13989" w:rsidP="00943911">
      <w:pPr>
        <w:pStyle w:val="H1G"/>
      </w:pPr>
      <w:r>
        <w:tab/>
        <w:t>1.</w:t>
      </w:r>
      <w:r>
        <w:tab/>
      </w:r>
      <w:r w:rsidR="00491B8D" w:rsidRPr="00C13989">
        <w:t>Adoption</w:t>
      </w:r>
      <w:r w:rsidR="00491B8D" w:rsidRPr="001F09D9">
        <w:t xml:space="preserve"> of the agenda</w:t>
      </w:r>
    </w:p>
    <w:p w14:paraId="298E7AE9" w14:textId="7EF91F82" w:rsidR="008F4968" w:rsidRPr="001F09D9" w:rsidRDefault="00DE1730" w:rsidP="00DE1730">
      <w:pPr>
        <w:pStyle w:val="H4G"/>
      </w:pPr>
      <w:r w:rsidRPr="001F09D9">
        <w:tab/>
      </w:r>
      <w:r w:rsidRPr="001F09D9">
        <w:tab/>
      </w:r>
      <w:r w:rsidR="008F4968" w:rsidRPr="001F09D9">
        <w:t xml:space="preserve">Tentative timing: </w:t>
      </w:r>
      <w:r w:rsidR="0021745D">
        <w:t>Monday</w:t>
      </w:r>
      <w:r w:rsidR="008F4968" w:rsidRPr="001F09D9">
        <w:t xml:space="preserve">, </w:t>
      </w:r>
      <w:r w:rsidR="0021745D">
        <w:t>5 November</w:t>
      </w:r>
      <w:r w:rsidR="008F4968" w:rsidRPr="001F09D9">
        <w:t>, 10–10.10 a.m.</w:t>
      </w:r>
      <w:r w:rsidR="00296682" w:rsidRPr="001F09D9">
        <w:t xml:space="preserve"> </w:t>
      </w:r>
    </w:p>
    <w:p w14:paraId="017A1EF1" w14:textId="6DFE22F0" w:rsidR="00491B8D" w:rsidRPr="001F09D9" w:rsidRDefault="001619FE" w:rsidP="005A07C4">
      <w:pPr>
        <w:pStyle w:val="SingleTxtG"/>
      </w:pPr>
      <w:r w:rsidRPr="001F09D9">
        <w:t>1</w:t>
      </w:r>
      <w:r w:rsidR="00491B8D" w:rsidRPr="001F09D9">
        <w:t>.</w:t>
      </w:r>
      <w:r w:rsidR="00491B8D" w:rsidRPr="001F09D9">
        <w:tab/>
        <w:t>The Compliance Committee</w:t>
      </w:r>
      <w:r w:rsidRPr="001F09D9">
        <w:t xml:space="preserve"> under the Protocol on Water and Health to the Convention on the Protection and Use of Transboundary Watercourses and International Lakes</w:t>
      </w:r>
      <w:r w:rsidR="00491B8D" w:rsidRPr="001F09D9">
        <w:t xml:space="preserve"> </w:t>
      </w:r>
      <w:r w:rsidR="001C43DC" w:rsidRPr="001F09D9">
        <w:t xml:space="preserve">(Water Convention) </w:t>
      </w:r>
      <w:r w:rsidR="00491B8D" w:rsidRPr="001F09D9">
        <w:t>will be invited to adopt its agenda as set out in the present document.</w:t>
      </w:r>
    </w:p>
    <w:p w14:paraId="4501B7B3" w14:textId="1BE0ADD2" w:rsidR="00491B8D" w:rsidRPr="001F09D9" w:rsidRDefault="00491B8D" w:rsidP="00491B8D">
      <w:pPr>
        <w:pStyle w:val="H1G"/>
      </w:pPr>
      <w:r w:rsidRPr="001F09D9">
        <w:tab/>
      </w:r>
      <w:r w:rsidR="001619FE" w:rsidRPr="001F09D9">
        <w:t>2</w:t>
      </w:r>
      <w:r w:rsidRPr="001F09D9">
        <w:t>.</w:t>
      </w:r>
      <w:r w:rsidRPr="001F09D9">
        <w:tab/>
        <w:t>Consideration of submissions, referrals and communications</w:t>
      </w:r>
    </w:p>
    <w:p w14:paraId="15791600" w14:textId="785BD5BE" w:rsidR="008F4968" w:rsidRPr="001F09D9" w:rsidRDefault="008F4968" w:rsidP="00DE1730">
      <w:pPr>
        <w:pStyle w:val="H4G"/>
      </w:pPr>
      <w:r w:rsidRPr="001F09D9">
        <w:tab/>
      </w:r>
      <w:r w:rsidR="00DE1730" w:rsidRPr="001F09D9">
        <w:tab/>
      </w:r>
      <w:r w:rsidRPr="001F09D9">
        <w:t xml:space="preserve">Tentative timing: </w:t>
      </w:r>
      <w:r w:rsidR="0021745D" w:rsidRPr="0021745D">
        <w:t>Monday, 5 November</w:t>
      </w:r>
      <w:r w:rsidRPr="001F09D9">
        <w:t>, 10</w:t>
      </w:r>
      <w:r w:rsidR="000354F0" w:rsidRPr="001F09D9">
        <w:t>.10</w:t>
      </w:r>
      <w:r w:rsidRPr="001F09D9">
        <w:t>–10.</w:t>
      </w:r>
      <w:r w:rsidR="000354F0" w:rsidRPr="001F09D9">
        <w:t>30</w:t>
      </w:r>
      <w:r w:rsidRPr="001F09D9">
        <w:t xml:space="preserve"> a.m.</w:t>
      </w:r>
      <w:r w:rsidR="000354F0" w:rsidRPr="001F09D9">
        <w:t xml:space="preserve"> </w:t>
      </w:r>
    </w:p>
    <w:p w14:paraId="6DF1380D" w14:textId="03DA82F8" w:rsidR="00491B8D" w:rsidRPr="001F09D9" w:rsidRDefault="001619FE" w:rsidP="005A07C4">
      <w:pPr>
        <w:pStyle w:val="SingleTxtG"/>
      </w:pPr>
      <w:r w:rsidRPr="001F09D9">
        <w:t>2</w:t>
      </w:r>
      <w:r w:rsidR="00491B8D" w:rsidRPr="001F09D9">
        <w:t>.</w:t>
      </w:r>
      <w:r w:rsidR="00491B8D" w:rsidRPr="001F09D9">
        <w:tab/>
        <w:t xml:space="preserve">In accordance with the procedures set out in </w:t>
      </w:r>
      <w:r w:rsidRPr="001F09D9">
        <w:rPr>
          <w:bCs/>
        </w:rPr>
        <w:t xml:space="preserve">decision </w:t>
      </w:r>
      <w:r w:rsidR="00A201B3">
        <w:rPr>
          <w:bCs/>
        </w:rPr>
        <w:t>I</w:t>
      </w:r>
      <w:r w:rsidRPr="001F09D9">
        <w:rPr>
          <w:bCs/>
        </w:rPr>
        <w:t xml:space="preserve">/2 </w:t>
      </w:r>
      <w:r w:rsidR="00774C9E">
        <w:rPr>
          <w:bCs/>
        </w:rPr>
        <w:t xml:space="preserve">of the Meeting of the Parties to the Protocol </w:t>
      </w:r>
      <w:r w:rsidRPr="001F09D9">
        <w:rPr>
          <w:bCs/>
        </w:rPr>
        <w:t xml:space="preserve">on </w:t>
      </w:r>
      <w:r w:rsidR="00774C9E">
        <w:rPr>
          <w:bCs/>
        </w:rPr>
        <w:t xml:space="preserve">the </w:t>
      </w:r>
      <w:r w:rsidRPr="001F09D9">
        <w:rPr>
          <w:bCs/>
        </w:rPr>
        <w:t>review of compliance (ECE/MP.WH/2/Add.3</w:t>
      </w:r>
      <w:r w:rsidR="00DB1A3C">
        <w:rPr>
          <w:bCs/>
        </w:rPr>
        <w:t>-</w:t>
      </w:r>
      <w:r w:rsidRPr="001F09D9">
        <w:rPr>
          <w:bCs/>
        </w:rPr>
        <w:t>EUR/06/5069385/1/Add.3)</w:t>
      </w:r>
      <w:r w:rsidR="00491B8D" w:rsidRPr="001F09D9">
        <w:t>, the Committee is expected to consider:</w:t>
      </w:r>
    </w:p>
    <w:p w14:paraId="5A0030D9" w14:textId="33DAC64E" w:rsidR="00491B8D" w:rsidRPr="001F09D9" w:rsidRDefault="00943911" w:rsidP="00EB7543">
      <w:pPr>
        <w:pStyle w:val="SingleTxtG"/>
      </w:pPr>
      <w:r>
        <w:tab/>
      </w:r>
      <w:r w:rsidR="00491B8D" w:rsidRPr="001F09D9">
        <w:t>(a)</w:t>
      </w:r>
      <w:r w:rsidR="00491B8D" w:rsidRPr="001F09D9">
        <w:tab/>
        <w:t>Any submission by Parties relating to specific issues of compliance (</w:t>
      </w:r>
      <w:r w:rsidR="00E41578" w:rsidRPr="001F09D9">
        <w:t>decision I/2</w:t>
      </w:r>
      <w:r w:rsidR="00D44F8A" w:rsidRPr="001F09D9">
        <w:t>, annex, paras. 13</w:t>
      </w:r>
      <w:r w:rsidR="00DB1A3C">
        <w:t>–</w:t>
      </w:r>
      <w:r w:rsidR="00491B8D" w:rsidRPr="001F09D9">
        <w:t>14);</w:t>
      </w:r>
    </w:p>
    <w:p w14:paraId="545EE4D9" w14:textId="6EBD0C3F" w:rsidR="00491B8D" w:rsidRPr="001F09D9" w:rsidRDefault="00943911" w:rsidP="00EB7543">
      <w:pPr>
        <w:pStyle w:val="SingleTxtG"/>
      </w:pPr>
      <w:r>
        <w:tab/>
      </w:r>
      <w:r w:rsidR="00491B8D" w:rsidRPr="001F09D9">
        <w:t>(b)</w:t>
      </w:r>
      <w:r w:rsidR="00491B8D" w:rsidRPr="001F09D9">
        <w:tab/>
        <w:t>Any referral by the joint secretariat relating to specific issues of compliance (</w:t>
      </w:r>
      <w:proofErr w:type="gramStart"/>
      <w:r w:rsidR="00491B8D" w:rsidRPr="001F09D9">
        <w:t>ibid.,</w:t>
      </w:r>
      <w:proofErr w:type="gramEnd"/>
      <w:r w:rsidR="00491B8D" w:rsidRPr="001F09D9">
        <w:t xml:space="preserve"> para. 15);</w:t>
      </w:r>
    </w:p>
    <w:p w14:paraId="577E47E0" w14:textId="510853FE" w:rsidR="00491B8D" w:rsidRPr="001F09D9" w:rsidRDefault="00943911" w:rsidP="00EB7543">
      <w:pPr>
        <w:pStyle w:val="SingleTxtG"/>
      </w:pPr>
      <w:r>
        <w:tab/>
      </w:r>
      <w:r w:rsidR="00491B8D" w:rsidRPr="001F09D9">
        <w:t>(c)</w:t>
      </w:r>
      <w:r w:rsidR="00491B8D" w:rsidRPr="001F09D9">
        <w:tab/>
        <w:t>Any communication from the public relating to specific issues of compliance (</w:t>
      </w:r>
      <w:proofErr w:type="gramStart"/>
      <w:r w:rsidR="00491B8D" w:rsidRPr="001F09D9">
        <w:t>ibid.,</w:t>
      </w:r>
      <w:proofErr w:type="gramEnd"/>
      <w:r w:rsidR="00491B8D" w:rsidRPr="001F09D9">
        <w:t xml:space="preserve"> paras. 16</w:t>
      </w:r>
      <w:r w:rsidR="00DB1A3C">
        <w:t>–</w:t>
      </w:r>
      <w:r w:rsidR="00491B8D" w:rsidRPr="001F09D9">
        <w:t>22).</w:t>
      </w:r>
    </w:p>
    <w:p w14:paraId="61FE6BF9" w14:textId="77777777" w:rsidR="00BD4612" w:rsidRDefault="006459FA" w:rsidP="00BD4612">
      <w:pPr>
        <w:pStyle w:val="H1G"/>
      </w:pPr>
      <w:r w:rsidRPr="001F09D9">
        <w:tab/>
      </w:r>
      <w:r w:rsidR="000354F0" w:rsidRPr="001F09D9">
        <w:t>3</w:t>
      </w:r>
      <w:r w:rsidRPr="001F09D9">
        <w:t>.</w:t>
      </w:r>
      <w:r w:rsidRPr="001F09D9">
        <w:tab/>
      </w:r>
      <w:r w:rsidR="00BD4612">
        <w:t xml:space="preserve">Review of compliance with the obligation to set targets and target dates under the Protocol </w:t>
      </w:r>
    </w:p>
    <w:p w14:paraId="78812012" w14:textId="561AAEFF" w:rsidR="00BD4612" w:rsidRDefault="00BD4612" w:rsidP="00BD4612">
      <w:pPr>
        <w:pStyle w:val="H4G"/>
      </w:pPr>
      <w:r>
        <w:tab/>
      </w:r>
      <w:r>
        <w:tab/>
        <w:t>Tentative timing: Monday, 5 November, 10.30–11.</w:t>
      </w:r>
      <w:r w:rsidR="0040462B">
        <w:t>00</w:t>
      </w:r>
      <w:r>
        <w:t xml:space="preserve"> a.m. </w:t>
      </w:r>
    </w:p>
    <w:p w14:paraId="0CB852F8" w14:textId="0222D080" w:rsidR="00BD4612" w:rsidRDefault="00BD4612" w:rsidP="00BD4612">
      <w:pPr>
        <w:pStyle w:val="SingleTxtG"/>
      </w:pPr>
      <w:r>
        <w:t>3.</w:t>
      </w:r>
      <w:r>
        <w:tab/>
        <w:t xml:space="preserve">At its fourth session (Geneva, 14–16 November 2016), the Meeting of the Parties to the Protocol adopted decision IV/2 on general issues of compliance, which requests Parties to communicate their targets to the joint secretariat for wider dissemination. Further to that decision, Parties that had not communicated their targets were contacted by the secretariat on behalf of the Committee and requested to provide information about their progress in the target-setting processes or to communicate the targets that had been formally established. </w:t>
      </w:r>
      <w:r w:rsidR="008C4167">
        <w:t>All</w:t>
      </w:r>
      <w:r w:rsidR="00397736">
        <w:t xml:space="preserve"> </w:t>
      </w:r>
      <w:r>
        <w:t xml:space="preserve">the countries contacted </w:t>
      </w:r>
      <w:r w:rsidR="00397736">
        <w:t xml:space="preserve">responded </w:t>
      </w:r>
      <w:r>
        <w:t xml:space="preserve">to this request and some communicated their targets. </w:t>
      </w:r>
    </w:p>
    <w:p w14:paraId="1653B476" w14:textId="5C34D3F5" w:rsidR="00BD4612" w:rsidRDefault="00BD4612" w:rsidP="00BD4612">
      <w:pPr>
        <w:pStyle w:val="SingleTxtG"/>
      </w:pPr>
      <w:r>
        <w:t>4.</w:t>
      </w:r>
      <w:r>
        <w:tab/>
        <w:t xml:space="preserve">At its fifteenth meeting </w:t>
      </w:r>
      <w:r w:rsidRPr="00936EA8">
        <w:t>(Geneva, 13–14 November 2017)</w:t>
      </w:r>
      <w:r>
        <w:t xml:space="preserve">, the Committee discussed the specific situation of the countries that had been contacted, focusing only on whether the information provided by each Party was sufficient to allow for an overall understanding of </w:t>
      </w:r>
      <w:r>
        <w:lastRenderedPageBreak/>
        <w:t xml:space="preserve">the targets set by each country without </w:t>
      </w:r>
      <w:r w:rsidR="008C4167">
        <w:t>entering</w:t>
      </w:r>
      <w:r>
        <w:t xml:space="preserve"> a substantive review. </w:t>
      </w:r>
      <w:r w:rsidR="00397736">
        <w:t>Having considered</w:t>
      </w:r>
      <w:r>
        <w:t xml:space="preserve"> the responses, the Committee requested the secretariat to write to a number of countries</w:t>
      </w:r>
      <w:r w:rsidR="00397736">
        <w:t>,</w:t>
      </w:r>
      <w:r>
        <w:t xml:space="preserve"> request</w:t>
      </w:r>
      <w:r w:rsidR="00397736">
        <w:t>ing</w:t>
      </w:r>
      <w:r>
        <w:t xml:space="preserve"> a further update on progress or clarification. At the time of its sixteenth meeting </w:t>
      </w:r>
      <w:r w:rsidRPr="000508FB">
        <w:t>(Geneva, 6–7 March 2018)</w:t>
      </w:r>
      <w:r>
        <w:t xml:space="preserve">, the Committee had not yet received replies from Albania, Belgium </w:t>
      </w:r>
      <w:r w:rsidR="00D846C1">
        <w:t xml:space="preserve">and </w:t>
      </w:r>
      <w:r>
        <w:t xml:space="preserve">the Russian Federation and decided that it would revisit the issue of possible follow-up action through electronic consultations by email as necessary. </w:t>
      </w:r>
    </w:p>
    <w:p w14:paraId="3263CBD6" w14:textId="11D612C8" w:rsidR="00BD4612" w:rsidRDefault="00BD4612" w:rsidP="00BD4612">
      <w:pPr>
        <w:pStyle w:val="SingleTxtG"/>
      </w:pPr>
      <w:r>
        <w:t>5.</w:t>
      </w:r>
      <w:r>
        <w:tab/>
        <w:t xml:space="preserve">Based on the information </w:t>
      </w:r>
      <w:r w:rsidR="00397736">
        <w:t xml:space="preserve">ultimately </w:t>
      </w:r>
      <w:r>
        <w:t>received from the three Parties, the Committee decided to consider the reply from Belgium at it</w:t>
      </w:r>
      <w:r w:rsidR="00397736">
        <w:t>s</w:t>
      </w:r>
      <w:r>
        <w:t xml:space="preserve"> seventeenth meeting</w:t>
      </w:r>
      <w:r w:rsidR="00397736">
        <w:t xml:space="preserve"> and to review the situation of </w:t>
      </w:r>
      <w:r>
        <w:t>Albania</w:t>
      </w:r>
      <w:r w:rsidR="00397736">
        <w:t>,</w:t>
      </w:r>
      <w:r>
        <w:t xml:space="preserve"> the Russian Federation</w:t>
      </w:r>
      <w:r w:rsidR="00397736">
        <w:t xml:space="preserve"> and </w:t>
      </w:r>
      <w:r>
        <w:t>other Parties</w:t>
      </w:r>
      <w:r w:rsidR="00397736">
        <w:t xml:space="preserve"> during</w:t>
      </w:r>
      <w:r>
        <w:t xml:space="preserve"> the fourth reporting cycle under the Protocol.</w:t>
      </w:r>
    </w:p>
    <w:p w14:paraId="227894CD" w14:textId="27530402" w:rsidR="00F10C1F" w:rsidRDefault="00F10C1F" w:rsidP="00F10C1F">
      <w:pPr>
        <w:pStyle w:val="SingleTxtG"/>
      </w:pPr>
      <w:r>
        <w:t>6.</w:t>
      </w:r>
      <w:r>
        <w:tab/>
        <w:t xml:space="preserve">The Committee </w:t>
      </w:r>
      <w:r w:rsidRPr="001F09D9">
        <w:t xml:space="preserve">will </w:t>
      </w:r>
      <w:r>
        <w:t xml:space="preserve">therefore </w:t>
      </w:r>
      <w:r w:rsidRPr="001F09D9">
        <w:t>discuss its next steps based on the responses and information received</w:t>
      </w:r>
      <w:r>
        <w:t xml:space="preserve"> from Belgium</w:t>
      </w:r>
      <w:r w:rsidRPr="001F09D9">
        <w:t>.</w:t>
      </w:r>
    </w:p>
    <w:p w14:paraId="1E7E37E0" w14:textId="6D7F82D3" w:rsidR="000354F0" w:rsidRPr="001F09D9" w:rsidRDefault="00BD4612" w:rsidP="006459FA">
      <w:pPr>
        <w:pStyle w:val="H1G"/>
      </w:pPr>
      <w:r>
        <w:tab/>
        <w:t>4.</w:t>
      </w:r>
      <w:r>
        <w:tab/>
      </w:r>
      <w:r w:rsidR="000354F0" w:rsidRPr="001F09D9">
        <w:t xml:space="preserve">Consultation </w:t>
      </w:r>
      <w:r w:rsidR="006C3FC4" w:rsidRPr="001F09D9">
        <w:t>Process</w:t>
      </w:r>
    </w:p>
    <w:p w14:paraId="5AD2526B" w14:textId="33D00153" w:rsidR="000354F0" w:rsidRPr="001F09D9" w:rsidRDefault="000354F0" w:rsidP="00DE1730">
      <w:pPr>
        <w:pStyle w:val="H4G"/>
      </w:pPr>
      <w:r w:rsidRPr="001F09D9">
        <w:tab/>
      </w:r>
      <w:r w:rsidRPr="001F09D9">
        <w:tab/>
        <w:t xml:space="preserve">Tentative timing: </w:t>
      </w:r>
      <w:r w:rsidR="0021745D" w:rsidRPr="0021745D">
        <w:t>Monday, 5 November</w:t>
      </w:r>
      <w:r w:rsidRPr="001F09D9">
        <w:t>, 1</w:t>
      </w:r>
      <w:r w:rsidR="00BD4612">
        <w:t>1</w:t>
      </w:r>
      <w:r w:rsidRPr="001F09D9">
        <w:t>.</w:t>
      </w:r>
      <w:r w:rsidR="0040462B">
        <w:t>0</w:t>
      </w:r>
      <w:r w:rsidRPr="001F09D9">
        <w:t>0 a.m.–1 p.m. and 3–6 p.m.</w:t>
      </w:r>
    </w:p>
    <w:p w14:paraId="7FF6870C" w14:textId="61E9DD70" w:rsidR="000354F0" w:rsidRPr="00936EA8" w:rsidRDefault="00F10C1F" w:rsidP="000354F0">
      <w:pPr>
        <w:pStyle w:val="SingleTxtG"/>
      </w:pPr>
      <w:r>
        <w:t>7</w:t>
      </w:r>
      <w:r w:rsidR="000354F0" w:rsidRPr="00936EA8">
        <w:t>.</w:t>
      </w:r>
      <w:r w:rsidR="000354F0" w:rsidRPr="00936EA8">
        <w:tab/>
      </w:r>
      <w:r w:rsidR="004A2C73" w:rsidRPr="00936EA8">
        <w:t xml:space="preserve">Based on decision IV/2 </w:t>
      </w:r>
      <w:r w:rsidR="00774C9E" w:rsidRPr="00936EA8">
        <w:t xml:space="preserve">of the Meeting of the Parties </w:t>
      </w:r>
      <w:r w:rsidR="000D72F0" w:rsidRPr="00936EA8">
        <w:rPr>
          <w:spacing w:val="-2"/>
        </w:rPr>
        <w:t>on general issues of compliance (ECE/MP.WH/13/Add.2</w:t>
      </w:r>
      <w:r w:rsidR="00DB1A3C" w:rsidRPr="00936EA8">
        <w:rPr>
          <w:spacing w:val="-2"/>
        </w:rPr>
        <w:t>-</w:t>
      </w:r>
      <w:r w:rsidR="000D72F0" w:rsidRPr="00936EA8">
        <w:t xml:space="preserve">EUPCR/1611921/2.1/2016/MOP-4/06/Add.2) </w:t>
      </w:r>
      <w:r w:rsidR="004A2C73" w:rsidRPr="00936EA8">
        <w:t xml:space="preserve">and the decision on consultations with Parties taken at </w:t>
      </w:r>
      <w:r w:rsidR="00774C9E" w:rsidRPr="00936EA8">
        <w:t xml:space="preserve">the Committee’s </w:t>
      </w:r>
      <w:r w:rsidR="004A2C73" w:rsidRPr="00936EA8">
        <w:t>fourteenth meeting</w:t>
      </w:r>
      <w:r w:rsidR="000D72F0" w:rsidRPr="00936EA8">
        <w:t xml:space="preserve"> (Geneva, 13–14 March 2017)</w:t>
      </w:r>
      <w:r w:rsidR="00774C9E" w:rsidRPr="00936EA8">
        <w:t>,</w:t>
      </w:r>
      <w:r w:rsidR="004A2C73" w:rsidRPr="00936EA8">
        <w:t xml:space="preserve"> </w:t>
      </w:r>
      <w:r w:rsidR="00397736" w:rsidRPr="00936EA8">
        <w:t>the Committee decided</w:t>
      </w:r>
      <w:r w:rsidR="00397736">
        <w:t>,</w:t>
      </w:r>
      <w:r w:rsidR="00397736" w:rsidRPr="00936EA8">
        <w:t xml:space="preserve"> </w:t>
      </w:r>
      <w:r w:rsidR="000D72F0" w:rsidRPr="00936EA8">
        <w:t>prior to its fifteenth meeting,</w:t>
      </w:r>
      <w:r w:rsidR="004A2C73" w:rsidRPr="00936EA8">
        <w:t xml:space="preserve"> </w:t>
      </w:r>
      <w:r w:rsidR="001C43DC" w:rsidRPr="00936EA8">
        <w:t>to</w:t>
      </w:r>
      <w:r w:rsidR="004A2C73" w:rsidRPr="00936EA8">
        <w:t xml:space="preserve"> invite Estonia, Latvia and Lithuania to engage in </w:t>
      </w:r>
      <w:r w:rsidR="00DE436A" w:rsidRPr="00936EA8">
        <w:t xml:space="preserve">the </w:t>
      </w:r>
      <w:r w:rsidR="004A2C73" w:rsidRPr="00936EA8">
        <w:t>Consultation Process</w:t>
      </w:r>
      <w:r w:rsidR="000354F0" w:rsidRPr="00936EA8">
        <w:t>.</w:t>
      </w:r>
      <w:r w:rsidR="000D72F0" w:rsidRPr="00936EA8">
        <w:t xml:space="preserve"> </w:t>
      </w:r>
      <w:r w:rsidR="00296682" w:rsidRPr="00936EA8">
        <w:t xml:space="preserve">The three countries </w:t>
      </w:r>
      <w:r w:rsidR="00397736">
        <w:t>accepted the</w:t>
      </w:r>
      <w:r w:rsidR="000D72F0" w:rsidRPr="00936EA8">
        <w:t xml:space="preserve"> i</w:t>
      </w:r>
      <w:r w:rsidR="000354F0" w:rsidRPr="00936EA8">
        <w:t>nvitation.</w:t>
      </w:r>
    </w:p>
    <w:p w14:paraId="3729A7D7" w14:textId="123DA2F9" w:rsidR="0061126D" w:rsidRPr="00936EA8" w:rsidRDefault="008F7981" w:rsidP="0061126D">
      <w:pPr>
        <w:pStyle w:val="SingleTxtG"/>
      </w:pPr>
      <w:r>
        <w:t>8</w:t>
      </w:r>
      <w:r w:rsidR="00DF7D2C">
        <w:t>.</w:t>
      </w:r>
      <w:r w:rsidR="000354F0" w:rsidRPr="00936EA8">
        <w:tab/>
      </w:r>
      <w:r w:rsidR="0061126D" w:rsidRPr="00936EA8">
        <w:t xml:space="preserve">At its </w:t>
      </w:r>
      <w:r w:rsidR="00DE436A" w:rsidRPr="00936EA8">
        <w:t xml:space="preserve">fifteenth </w:t>
      </w:r>
      <w:r w:rsidR="0061126D" w:rsidRPr="00936EA8">
        <w:t xml:space="preserve">meeting, the Committee decided that the </w:t>
      </w:r>
      <w:r w:rsidR="00DE436A" w:rsidRPr="00936EA8">
        <w:t>c</w:t>
      </w:r>
      <w:r w:rsidR="0061126D" w:rsidRPr="00936EA8">
        <w:t xml:space="preserve">onsultation </w:t>
      </w:r>
      <w:r w:rsidR="001C43DC" w:rsidRPr="00936EA8">
        <w:t xml:space="preserve">would </w:t>
      </w:r>
      <w:r w:rsidR="0061126D" w:rsidRPr="00936EA8">
        <w:t xml:space="preserve">take place between November 2017 and November 2018 and </w:t>
      </w:r>
      <w:r w:rsidR="001C43DC" w:rsidRPr="00936EA8">
        <w:t xml:space="preserve">would </w:t>
      </w:r>
      <w:r w:rsidR="0061126D" w:rsidRPr="00936EA8">
        <w:t>have the following components:</w:t>
      </w:r>
    </w:p>
    <w:p w14:paraId="5418A185" w14:textId="5A883443" w:rsidR="0061126D" w:rsidRPr="00936EA8" w:rsidRDefault="00943911" w:rsidP="00EB7543">
      <w:pPr>
        <w:pStyle w:val="SingleTxtG"/>
      </w:pPr>
      <w:r>
        <w:tab/>
      </w:r>
      <w:r w:rsidR="0061126D" w:rsidRPr="00936EA8">
        <w:t>(a)</w:t>
      </w:r>
      <w:r w:rsidR="0061126D" w:rsidRPr="00936EA8">
        <w:tab/>
        <w:t>A stock-taking exercise to understand the situation regarding water and health in each country;</w:t>
      </w:r>
    </w:p>
    <w:p w14:paraId="4FF950EB" w14:textId="1186BA74" w:rsidR="0061126D" w:rsidRPr="00936EA8" w:rsidRDefault="00943911" w:rsidP="00EB7543">
      <w:pPr>
        <w:pStyle w:val="SingleTxtG"/>
      </w:pPr>
      <w:r>
        <w:tab/>
      </w:r>
      <w:r w:rsidR="0061126D" w:rsidRPr="00936EA8">
        <w:t>(b)</w:t>
      </w:r>
      <w:r w:rsidR="0061126D" w:rsidRPr="00936EA8">
        <w:tab/>
        <w:t>An interpretive note clarifying the relevant legal provisions of the Protocol</w:t>
      </w:r>
      <w:r w:rsidR="00104CC1" w:rsidRPr="00936EA8">
        <w:t>,</w:t>
      </w:r>
      <w:r w:rsidR="001C43DC" w:rsidRPr="00936EA8">
        <w:t xml:space="preserve"> based on the information </w:t>
      </w:r>
      <w:r w:rsidR="00397736">
        <w:t xml:space="preserve">gathered </w:t>
      </w:r>
      <w:r w:rsidR="001C43DC" w:rsidRPr="00936EA8">
        <w:t xml:space="preserve">and lessons </w:t>
      </w:r>
      <w:r w:rsidR="00397736">
        <w:t>learned</w:t>
      </w:r>
      <w:r w:rsidR="00397736" w:rsidRPr="00936EA8">
        <w:t xml:space="preserve"> </w:t>
      </w:r>
      <w:r w:rsidR="001C43DC" w:rsidRPr="00936EA8">
        <w:t>during the process</w:t>
      </w:r>
      <w:r w:rsidR="0061126D" w:rsidRPr="00936EA8">
        <w:t>;</w:t>
      </w:r>
    </w:p>
    <w:p w14:paraId="2AA22CE7" w14:textId="4A5F1971" w:rsidR="0061126D" w:rsidRPr="00936EA8" w:rsidRDefault="00943911" w:rsidP="00EB7543">
      <w:pPr>
        <w:pStyle w:val="SingleTxtG"/>
      </w:pPr>
      <w:r>
        <w:tab/>
      </w:r>
      <w:r w:rsidR="0061126D" w:rsidRPr="00936EA8">
        <w:t>(c)</w:t>
      </w:r>
      <w:r w:rsidR="0061126D" w:rsidRPr="00936EA8">
        <w:tab/>
        <w:t xml:space="preserve">Provision of specific advice in writing and </w:t>
      </w:r>
      <w:r w:rsidR="001C43DC" w:rsidRPr="00936EA8">
        <w:t>during the meeting</w:t>
      </w:r>
      <w:r w:rsidR="000729D2" w:rsidRPr="00936EA8">
        <w:t xml:space="preserve"> in November</w:t>
      </w:r>
      <w:r w:rsidR="0061126D" w:rsidRPr="00936EA8">
        <w:t>;</w:t>
      </w:r>
    </w:p>
    <w:p w14:paraId="79BA1BAE" w14:textId="2767589B" w:rsidR="0061126D" w:rsidRPr="00936EA8" w:rsidRDefault="00943911" w:rsidP="00EB7543">
      <w:pPr>
        <w:pStyle w:val="SingleTxtG"/>
      </w:pPr>
      <w:r>
        <w:tab/>
      </w:r>
      <w:r w:rsidR="0061126D" w:rsidRPr="00936EA8">
        <w:t>(d)</w:t>
      </w:r>
      <w:r w:rsidR="0061126D" w:rsidRPr="00936EA8">
        <w:tab/>
        <w:t>Follow</w:t>
      </w:r>
      <w:r w:rsidR="00DE436A" w:rsidRPr="00936EA8">
        <w:t>-</w:t>
      </w:r>
      <w:r w:rsidR="0061126D" w:rsidRPr="00936EA8">
        <w:t xml:space="preserve">up on </w:t>
      </w:r>
      <w:r w:rsidR="00F51A01">
        <w:t>action taken in response to that</w:t>
      </w:r>
      <w:r w:rsidR="0061126D" w:rsidRPr="00936EA8">
        <w:t xml:space="preserve"> advice.</w:t>
      </w:r>
    </w:p>
    <w:p w14:paraId="2FA7E0DB" w14:textId="0D566562" w:rsidR="000354F0" w:rsidRDefault="008F7981" w:rsidP="000508FB">
      <w:pPr>
        <w:pStyle w:val="SingleTxtG"/>
      </w:pPr>
      <w:r>
        <w:t>9</w:t>
      </w:r>
      <w:r w:rsidR="0061126D" w:rsidRPr="000508FB">
        <w:t>.</w:t>
      </w:r>
      <w:r w:rsidR="0061126D" w:rsidRPr="000508FB">
        <w:tab/>
      </w:r>
      <w:r w:rsidR="000508FB" w:rsidRPr="000508FB">
        <w:t>At its sixteenth meeting, the Committee held consultations with Estonia, Latvia and Lithuania, including plenary discussions on the</w:t>
      </w:r>
      <w:r w:rsidR="00F51A01">
        <w:t>ir</w:t>
      </w:r>
      <w:r w:rsidR="000508FB" w:rsidRPr="000508FB">
        <w:t xml:space="preserve"> needs</w:t>
      </w:r>
      <w:r w:rsidR="000508FB">
        <w:t>,</w:t>
      </w:r>
      <w:r w:rsidR="000508FB" w:rsidRPr="000508FB">
        <w:t xml:space="preserve"> expectations and cross-cutting priorities </w:t>
      </w:r>
      <w:r w:rsidR="00F51A01">
        <w:t>and</w:t>
      </w:r>
      <w:r w:rsidR="000508FB" w:rsidRPr="000508FB">
        <w:t xml:space="preserve"> individual discussions on </w:t>
      </w:r>
      <w:r w:rsidR="00F51A01">
        <w:t xml:space="preserve">the </w:t>
      </w:r>
      <w:r w:rsidR="000508FB" w:rsidRPr="000508FB">
        <w:t xml:space="preserve">specific challenges </w:t>
      </w:r>
      <w:r w:rsidR="00F51A01">
        <w:t>faced by</w:t>
      </w:r>
      <w:r w:rsidR="00F51A01" w:rsidRPr="000508FB">
        <w:t xml:space="preserve"> </w:t>
      </w:r>
      <w:r w:rsidR="000508FB" w:rsidRPr="000508FB">
        <w:t xml:space="preserve">each country. The Committee also requested the Parties concerned to </w:t>
      </w:r>
      <w:r w:rsidR="00F51A01">
        <w:t>send</w:t>
      </w:r>
      <w:r w:rsidR="000508FB" w:rsidRPr="000508FB">
        <w:t xml:space="preserve"> the Committee a detailed </w:t>
      </w:r>
      <w:r w:rsidR="00F51A01">
        <w:t xml:space="preserve">written </w:t>
      </w:r>
      <w:r w:rsidR="000508FB" w:rsidRPr="000508FB">
        <w:t xml:space="preserve">statement </w:t>
      </w:r>
      <w:r w:rsidR="00F51A01" w:rsidRPr="000508FB">
        <w:t>o</w:t>
      </w:r>
      <w:r w:rsidR="00F51A01">
        <w:t>f</w:t>
      </w:r>
      <w:r w:rsidR="00F51A01" w:rsidRPr="000508FB">
        <w:t xml:space="preserve"> </w:t>
      </w:r>
      <w:r w:rsidR="000508FB" w:rsidRPr="000508FB">
        <w:t xml:space="preserve">their expectations </w:t>
      </w:r>
      <w:r w:rsidR="00F51A01">
        <w:t>of</w:t>
      </w:r>
      <w:r w:rsidR="00F51A01" w:rsidRPr="000508FB">
        <w:t xml:space="preserve"> </w:t>
      </w:r>
      <w:r w:rsidR="000508FB" w:rsidRPr="000508FB">
        <w:t>the Consultation Process.</w:t>
      </w:r>
      <w:r w:rsidR="00A40408">
        <w:t xml:space="preserve"> The three countries </w:t>
      </w:r>
      <w:r w:rsidR="00F51A01">
        <w:t>sent those statements to</w:t>
      </w:r>
      <w:r w:rsidR="00FB558F">
        <w:t xml:space="preserve"> the Committee</w:t>
      </w:r>
      <w:r w:rsidR="0040462B">
        <w:t xml:space="preserve"> after the meeting</w:t>
      </w:r>
      <w:r w:rsidR="00FB558F">
        <w:t>.</w:t>
      </w:r>
    </w:p>
    <w:p w14:paraId="5F20D46C" w14:textId="4660F244" w:rsidR="000508FB" w:rsidRDefault="008F7981" w:rsidP="000508FB">
      <w:pPr>
        <w:pStyle w:val="SingleTxtG"/>
      </w:pPr>
      <w:r>
        <w:t>10</w:t>
      </w:r>
      <w:r w:rsidR="000508FB">
        <w:t>.</w:t>
      </w:r>
      <w:r w:rsidR="000508FB">
        <w:tab/>
      </w:r>
      <w:r w:rsidR="00F51A01">
        <w:t xml:space="preserve">During </w:t>
      </w:r>
      <w:r w:rsidR="00A40408">
        <w:t>the intersessional period</w:t>
      </w:r>
      <w:r w:rsidR="0040462B">
        <w:t>, the Committee</w:t>
      </w:r>
      <w:r w:rsidR="00A40408">
        <w:t xml:space="preserve"> </w:t>
      </w:r>
      <w:r w:rsidR="0025423C">
        <w:t xml:space="preserve">commenced work on the </w:t>
      </w:r>
      <w:r w:rsidR="00A40408">
        <w:t>interpretive note and draft</w:t>
      </w:r>
      <w:r w:rsidR="0025423C">
        <w:t>ed</w:t>
      </w:r>
      <w:r w:rsidR="00A40408">
        <w:t xml:space="preserve"> specific advice</w:t>
      </w:r>
      <w:r w:rsidR="00FB558F">
        <w:t xml:space="preserve"> </w:t>
      </w:r>
      <w:r w:rsidR="00F51A01">
        <w:t>for communication</w:t>
      </w:r>
      <w:r w:rsidR="00D0193D">
        <w:t xml:space="preserve"> to the Parties concerned </w:t>
      </w:r>
      <w:r w:rsidR="00FB558F">
        <w:t>prior</w:t>
      </w:r>
      <w:r w:rsidR="00A40408">
        <w:t xml:space="preserve"> </w:t>
      </w:r>
      <w:r w:rsidR="00FB558F">
        <w:t>to its seventeenth meeting.</w:t>
      </w:r>
    </w:p>
    <w:p w14:paraId="044275E2" w14:textId="076DB78C" w:rsidR="00D205E2" w:rsidRDefault="00DF7D2C" w:rsidP="00D205E2">
      <w:pPr>
        <w:pStyle w:val="SingleTxtG"/>
      </w:pPr>
      <w:r>
        <w:t>1</w:t>
      </w:r>
      <w:r w:rsidR="0040462B">
        <w:t>1</w:t>
      </w:r>
      <w:r w:rsidR="00D205E2">
        <w:t>.</w:t>
      </w:r>
      <w:r w:rsidR="00D205E2">
        <w:tab/>
      </w:r>
      <w:r w:rsidR="0040462B">
        <w:t>At the meeting, t</w:t>
      </w:r>
      <w:r w:rsidR="00D205E2">
        <w:t xml:space="preserve">he Committee will hold consultations with Estonia, Latvia and Lithuania. </w:t>
      </w:r>
      <w:r w:rsidR="00F51A01">
        <w:t>The c</w:t>
      </w:r>
      <w:r w:rsidR="00D205E2">
        <w:t>onsultations</w:t>
      </w:r>
      <w:r>
        <w:t xml:space="preserve"> </w:t>
      </w:r>
      <w:r w:rsidR="00D205E2">
        <w:t xml:space="preserve">will comprise: </w:t>
      </w:r>
    </w:p>
    <w:p w14:paraId="0368E496" w14:textId="34F0EEAC" w:rsidR="00DF7D2C" w:rsidRDefault="00943911" w:rsidP="00A55017">
      <w:pPr>
        <w:pStyle w:val="SingleTxtG"/>
      </w:pPr>
      <w:r>
        <w:tab/>
      </w:r>
      <w:r w:rsidR="00DF7D2C">
        <w:t>(a)</w:t>
      </w:r>
      <w:r w:rsidR="00DF7D2C">
        <w:tab/>
      </w:r>
      <w:r w:rsidR="00D0193D" w:rsidRPr="00D0193D">
        <w:t xml:space="preserve">Presentations by </w:t>
      </w:r>
      <w:r w:rsidR="00F51A01">
        <w:t xml:space="preserve">the three </w:t>
      </w:r>
      <w:r w:rsidR="00D0193D" w:rsidRPr="00D0193D">
        <w:t xml:space="preserve">Parties on </w:t>
      </w:r>
      <w:r w:rsidR="0025423C">
        <w:t xml:space="preserve">developments in their </w:t>
      </w:r>
      <w:r w:rsidR="00D0193D" w:rsidRPr="00D0193D">
        <w:t xml:space="preserve">water and health situation </w:t>
      </w:r>
      <w:r w:rsidR="0025423C">
        <w:t xml:space="preserve">since </w:t>
      </w:r>
      <w:r w:rsidR="003071AA">
        <w:t>the last meeting of the Committee</w:t>
      </w:r>
      <w:r w:rsidR="0025423C">
        <w:t xml:space="preserve"> and on </w:t>
      </w:r>
      <w:r w:rsidR="00D0193D">
        <w:t xml:space="preserve">the usefulness of the Consultation Process </w:t>
      </w:r>
      <w:r w:rsidR="00F51A01">
        <w:t xml:space="preserve">thus </w:t>
      </w:r>
      <w:r w:rsidR="00D0193D">
        <w:t>far</w:t>
      </w:r>
      <w:r w:rsidR="00D0193D" w:rsidRPr="00D0193D">
        <w:t>;</w:t>
      </w:r>
    </w:p>
    <w:p w14:paraId="04B1076B" w14:textId="23BAEDC6" w:rsidR="00D205E2" w:rsidRDefault="00943911" w:rsidP="00A55017">
      <w:pPr>
        <w:pStyle w:val="SingleTxtG"/>
      </w:pPr>
      <w:r>
        <w:lastRenderedPageBreak/>
        <w:tab/>
      </w:r>
      <w:r w:rsidR="00D205E2">
        <w:t>(</w:t>
      </w:r>
      <w:r w:rsidR="00DF7D2C">
        <w:t>b</w:t>
      </w:r>
      <w:r w:rsidR="00D205E2">
        <w:t>)</w:t>
      </w:r>
      <w:r w:rsidR="00D205E2">
        <w:tab/>
      </w:r>
      <w:bookmarkStart w:id="0" w:name="_Hlk522282254"/>
      <w:r w:rsidR="0025423C">
        <w:t>Discussion</w:t>
      </w:r>
      <w:r w:rsidR="00F51A01">
        <w:t xml:space="preserve"> </w:t>
      </w:r>
      <w:r w:rsidR="00DF7D2C">
        <w:t xml:space="preserve">of </w:t>
      </w:r>
      <w:r w:rsidR="0025423C">
        <w:t>progress so far on the</w:t>
      </w:r>
      <w:r w:rsidR="00DF7D2C">
        <w:t xml:space="preserve"> </w:t>
      </w:r>
      <w:r w:rsidR="00DF7D2C" w:rsidRPr="00DF7D2C">
        <w:t xml:space="preserve">interpretive note clarifying the relevant legal provisions of the Protocol based on the information </w:t>
      </w:r>
      <w:r w:rsidR="00F51A01">
        <w:t xml:space="preserve">gathered </w:t>
      </w:r>
      <w:r w:rsidR="00DF7D2C" w:rsidRPr="00DF7D2C">
        <w:t xml:space="preserve">and lessons </w:t>
      </w:r>
      <w:r w:rsidR="00F51A01">
        <w:t>learned</w:t>
      </w:r>
      <w:r w:rsidR="00F51A01" w:rsidRPr="00DF7D2C">
        <w:t xml:space="preserve"> </w:t>
      </w:r>
      <w:r w:rsidR="00DF7D2C" w:rsidRPr="00DF7D2C">
        <w:t>during the process</w:t>
      </w:r>
      <w:bookmarkEnd w:id="0"/>
      <w:r w:rsidR="00D0193D">
        <w:t xml:space="preserve"> and </w:t>
      </w:r>
      <w:r w:rsidR="00F51A01">
        <w:t xml:space="preserve">on </w:t>
      </w:r>
      <w:r w:rsidR="00D0193D">
        <w:t>discussion</w:t>
      </w:r>
      <w:r w:rsidR="00F51A01">
        <w:t>s</w:t>
      </w:r>
      <w:r w:rsidR="00D0193D">
        <w:t xml:space="preserve"> with </w:t>
      </w:r>
      <w:r w:rsidR="00F51A01">
        <w:t xml:space="preserve">the </w:t>
      </w:r>
      <w:r w:rsidR="00D0193D">
        <w:t>Parties</w:t>
      </w:r>
      <w:r w:rsidR="00D205E2">
        <w:t>;</w:t>
      </w:r>
    </w:p>
    <w:p w14:paraId="24BEBC13" w14:textId="4674C935" w:rsidR="00D0193D" w:rsidRDefault="00943911" w:rsidP="00A55017">
      <w:pPr>
        <w:pStyle w:val="SingleTxtG"/>
      </w:pPr>
      <w:r>
        <w:tab/>
      </w:r>
      <w:r w:rsidR="00D205E2">
        <w:t>(</w:t>
      </w:r>
      <w:r w:rsidR="00DF7D2C">
        <w:t>c</w:t>
      </w:r>
      <w:r w:rsidR="00D205E2">
        <w:t>)</w:t>
      </w:r>
      <w:r w:rsidR="00D205E2">
        <w:tab/>
        <w:t xml:space="preserve">Parallel sessions with each Party </w:t>
      </w:r>
      <w:r w:rsidR="00F51A01">
        <w:t>in order to present</w:t>
      </w:r>
      <w:r w:rsidR="00D0193D">
        <w:t xml:space="preserve"> specific advice;</w:t>
      </w:r>
    </w:p>
    <w:p w14:paraId="0E64C2FD" w14:textId="6292F219" w:rsidR="00D205E2" w:rsidRPr="001F09D9" w:rsidRDefault="00943911" w:rsidP="00A55017">
      <w:pPr>
        <w:pStyle w:val="SingleTxtG"/>
      </w:pPr>
      <w:r>
        <w:tab/>
      </w:r>
      <w:r w:rsidR="00D0193D">
        <w:t>(d)</w:t>
      </w:r>
      <w:r w:rsidR="00D0193D">
        <w:tab/>
      </w:r>
      <w:r w:rsidR="00F51A01">
        <w:t xml:space="preserve">A plenary </w:t>
      </w:r>
      <w:r w:rsidR="00D205E2">
        <w:t xml:space="preserve">discussion </w:t>
      </w:r>
      <w:r w:rsidR="00F51A01">
        <w:t xml:space="preserve">at which the Parties will </w:t>
      </w:r>
      <w:r w:rsidR="00D0193D">
        <w:t>exchange experience and ideas and agree on</w:t>
      </w:r>
      <w:r w:rsidR="00D205E2">
        <w:t xml:space="preserve"> </w:t>
      </w:r>
      <w:r w:rsidR="00DF7D2C">
        <w:t xml:space="preserve">follow up </w:t>
      </w:r>
      <w:r w:rsidR="00F51A01">
        <w:t>to the Committee’s</w:t>
      </w:r>
      <w:r w:rsidR="00DF7D2C">
        <w:t xml:space="preserve"> advice</w:t>
      </w:r>
      <w:r w:rsidR="00D205E2">
        <w:t>.</w:t>
      </w:r>
    </w:p>
    <w:p w14:paraId="6C448F7D" w14:textId="5440AB8B" w:rsidR="00491B8D" w:rsidRPr="001F09D9" w:rsidRDefault="000354F0" w:rsidP="00D205E2">
      <w:pPr>
        <w:pStyle w:val="H1G"/>
      </w:pPr>
      <w:r w:rsidRPr="001F09D9">
        <w:tab/>
      </w:r>
      <w:r w:rsidR="008A2A25" w:rsidRPr="001F09D9">
        <w:t>5</w:t>
      </w:r>
      <w:r w:rsidR="00077385" w:rsidRPr="001F09D9">
        <w:t>.</w:t>
      </w:r>
      <w:r w:rsidR="00077385" w:rsidRPr="001F09D9">
        <w:tab/>
      </w:r>
      <w:r w:rsidR="004E1FF6" w:rsidRPr="00073E20">
        <w:t>Awareness</w:t>
      </w:r>
      <w:r w:rsidR="00637F07" w:rsidRPr="001F09D9">
        <w:t>-</w:t>
      </w:r>
      <w:r w:rsidR="004E1FF6" w:rsidRPr="001F09D9">
        <w:t xml:space="preserve">raising on </w:t>
      </w:r>
      <w:r w:rsidR="00FF580D" w:rsidRPr="001F09D9">
        <w:t>the compliance procedure</w:t>
      </w:r>
    </w:p>
    <w:p w14:paraId="6C61F4F9" w14:textId="7FABC9EC" w:rsidR="00F510EB" w:rsidRPr="001F09D9" w:rsidRDefault="00DE1730" w:rsidP="00DE1730">
      <w:pPr>
        <w:pStyle w:val="H4G"/>
      </w:pPr>
      <w:r w:rsidRPr="001F09D9">
        <w:tab/>
      </w:r>
      <w:r w:rsidRPr="001F09D9">
        <w:tab/>
      </w:r>
      <w:r w:rsidR="00F510EB" w:rsidRPr="001F09D9">
        <w:t xml:space="preserve">Tentative timing: </w:t>
      </w:r>
      <w:r w:rsidR="0021745D">
        <w:t>Tuesday, 6 November</w:t>
      </w:r>
      <w:r w:rsidR="00F510EB" w:rsidRPr="001F09D9">
        <w:t>, 1</w:t>
      </w:r>
      <w:r w:rsidR="00253DCE">
        <w:t>0.0</w:t>
      </w:r>
      <w:r w:rsidR="00FA5739">
        <w:t>0</w:t>
      </w:r>
      <w:r w:rsidRPr="001F09D9">
        <w:t xml:space="preserve"> </w:t>
      </w:r>
      <w:r w:rsidR="00253DCE">
        <w:t>–10.30 a</w:t>
      </w:r>
      <w:r w:rsidR="00F510EB" w:rsidRPr="001F09D9">
        <w:t xml:space="preserve">.m. </w:t>
      </w:r>
    </w:p>
    <w:p w14:paraId="4CA21A98" w14:textId="2CFF6513" w:rsidR="006B2E5E" w:rsidRPr="001F09D9" w:rsidRDefault="00F510EB" w:rsidP="006B2E5E">
      <w:pPr>
        <w:pStyle w:val="SingleTxtG"/>
      </w:pPr>
      <w:r w:rsidRPr="001F09D9">
        <w:t>1</w:t>
      </w:r>
      <w:r w:rsidR="00253DCE">
        <w:t>2</w:t>
      </w:r>
      <w:r w:rsidR="00491B8D" w:rsidRPr="001F09D9">
        <w:t>.</w:t>
      </w:r>
      <w:r w:rsidR="00491B8D" w:rsidRPr="001F09D9">
        <w:tab/>
      </w:r>
      <w:r w:rsidR="00FF580D" w:rsidRPr="001F09D9">
        <w:t xml:space="preserve">The Committee </w:t>
      </w:r>
      <w:r w:rsidR="006B2E5E" w:rsidRPr="001F09D9">
        <w:t>members and the secretariat will report on their efforts to</w:t>
      </w:r>
      <w:r w:rsidR="002C1CF3">
        <w:t xml:space="preserve"> promote and</w:t>
      </w:r>
      <w:r w:rsidR="006B2E5E" w:rsidRPr="001F09D9">
        <w:t xml:space="preserve"> present the </w:t>
      </w:r>
      <w:r w:rsidR="00073E20">
        <w:t xml:space="preserve">compliance </w:t>
      </w:r>
      <w:r w:rsidR="00774C9E">
        <w:t xml:space="preserve">procedure </w:t>
      </w:r>
      <w:r w:rsidR="006B2E5E" w:rsidRPr="001F09D9">
        <w:t>at various forums and events.</w:t>
      </w:r>
    </w:p>
    <w:p w14:paraId="1D41AF4A" w14:textId="5BD2FCA4" w:rsidR="00491B8D" w:rsidRPr="001F09D9" w:rsidRDefault="00F510EB" w:rsidP="00802E97">
      <w:pPr>
        <w:pStyle w:val="SingleTxtG"/>
        <w:spacing w:line="240" w:lineRule="auto"/>
      </w:pPr>
      <w:r w:rsidRPr="001F09D9">
        <w:t>1</w:t>
      </w:r>
      <w:r w:rsidR="00253DCE">
        <w:t>3</w:t>
      </w:r>
      <w:r w:rsidR="006B2E5E" w:rsidRPr="001F09D9">
        <w:t>.</w:t>
      </w:r>
      <w:r w:rsidR="006B2E5E" w:rsidRPr="001F09D9">
        <w:tab/>
      </w:r>
      <w:r w:rsidR="00077385" w:rsidRPr="001F09D9">
        <w:t xml:space="preserve">The Committee will </w:t>
      </w:r>
      <w:r w:rsidR="00FF580D" w:rsidRPr="001F09D9">
        <w:t xml:space="preserve">discuss </w:t>
      </w:r>
      <w:r w:rsidR="00F51A01">
        <w:t>specific</w:t>
      </w:r>
      <w:r w:rsidR="00F51A01" w:rsidRPr="001F09D9">
        <w:t xml:space="preserve"> </w:t>
      </w:r>
      <w:r w:rsidR="00FF580D" w:rsidRPr="001F09D9">
        <w:t xml:space="preserve">steps </w:t>
      </w:r>
      <w:r w:rsidR="00077385" w:rsidRPr="001F09D9">
        <w:t xml:space="preserve">and initiatives </w:t>
      </w:r>
      <w:r w:rsidR="00F51A01">
        <w:t xml:space="preserve">designed </w:t>
      </w:r>
      <w:r w:rsidR="00FF580D" w:rsidRPr="001F09D9">
        <w:t xml:space="preserve">to </w:t>
      </w:r>
      <w:r w:rsidR="00077385" w:rsidRPr="001F09D9">
        <w:t xml:space="preserve">raise awareness </w:t>
      </w:r>
      <w:r w:rsidR="00F51A01" w:rsidRPr="001F09D9">
        <w:t>o</w:t>
      </w:r>
      <w:r w:rsidR="00F51A01">
        <w:t>f</w:t>
      </w:r>
      <w:r w:rsidR="00F51A01" w:rsidRPr="001F09D9">
        <w:t xml:space="preserve"> </w:t>
      </w:r>
      <w:r w:rsidR="00FF580D" w:rsidRPr="001F09D9">
        <w:t xml:space="preserve">the compliance procedure. </w:t>
      </w:r>
    </w:p>
    <w:p w14:paraId="270A9C00" w14:textId="48330AF3" w:rsidR="009344E1" w:rsidRDefault="0006795E" w:rsidP="009344E1">
      <w:pPr>
        <w:pStyle w:val="H1G"/>
      </w:pPr>
      <w:r w:rsidRPr="001F09D9">
        <w:tab/>
        <w:t>6.</w:t>
      </w:r>
      <w:r w:rsidRPr="001F09D9">
        <w:tab/>
      </w:r>
      <w:r w:rsidR="009344E1">
        <w:t xml:space="preserve">Report </w:t>
      </w:r>
      <w:r w:rsidR="00397736">
        <w:t xml:space="preserve">of </w:t>
      </w:r>
      <w:r w:rsidR="009344E1">
        <w:t>the Committee to the Meeting of the Parties at its fifth session</w:t>
      </w:r>
      <w:r w:rsidR="009344E1" w:rsidRPr="001F09D9">
        <w:t xml:space="preserve"> </w:t>
      </w:r>
    </w:p>
    <w:p w14:paraId="77F8D5F3" w14:textId="4509FB26" w:rsidR="009344E1" w:rsidRPr="00AA733E" w:rsidRDefault="009344E1" w:rsidP="009344E1">
      <w:pPr>
        <w:pStyle w:val="H4G"/>
      </w:pPr>
      <w:r>
        <w:tab/>
      </w:r>
      <w:r>
        <w:tab/>
      </w:r>
      <w:r w:rsidRPr="00044D48">
        <w:t xml:space="preserve">Tentative timing: </w:t>
      </w:r>
      <w:r>
        <w:t>Tuesday, 6 November</w:t>
      </w:r>
      <w:r w:rsidRPr="001F09D9">
        <w:t xml:space="preserve">, </w:t>
      </w:r>
      <w:r w:rsidR="009608DB">
        <w:t>1</w:t>
      </w:r>
      <w:r w:rsidR="00253DCE">
        <w:t>0.30 a.m.</w:t>
      </w:r>
      <w:r w:rsidRPr="00044D48">
        <w:t>–</w:t>
      </w:r>
      <w:r w:rsidR="009608DB">
        <w:t>12</w:t>
      </w:r>
      <w:r w:rsidRPr="00044D48">
        <w:t>.30 p.m.</w:t>
      </w:r>
    </w:p>
    <w:p w14:paraId="2034CC9B" w14:textId="059E2EA0" w:rsidR="009344E1" w:rsidRPr="00AA733E" w:rsidRDefault="009344E1" w:rsidP="009344E1">
      <w:pPr>
        <w:pStyle w:val="SingleTxtG"/>
      </w:pPr>
      <w:r w:rsidRPr="00AA733E">
        <w:t>1</w:t>
      </w:r>
      <w:r w:rsidR="00253DCE">
        <w:t>4</w:t>
      </w:r>
      <w:r w:rsidRPr="00AA733E">
        <w:t>.</w:t>
      </w:r>
      <w:r w:rsidRPr="00AA733E">
        <w:tab/>
        <w:t>The</w:t>
      </w:r>
      <w:r w:rsidR="00967F9B">
        <w:t xml:space="preserve"> </w:t>
      </w:r>
      <w:r w:rsidRPr="00AA733E">
        <w:t>Committee will discuss the preparation of the report on its activities</w:t>
      </w:r>
      <w:r w:rsidR="00F51A01">
        <w:t>,</w:t>
      </w:r>
      <w:r w:rsidRPr="00AA733E">
        <w:t xml:space="preserve"> to be submitted to the Meeting of the Parties at its f</w:t>
      </w:r>
      <w:r w:rsidR="009608DB">
        <w:t>if</w:t>
      </w:r>
      <w:r w:rsidRPr="00AA733E">
        <w:t xml:space="preserve">th session pursuant to </w:t>
      </w:r>
      <w:r>
        <w:t xml:space="preserve">paragraph 33 </w:t>
      </w:r>
      <w:r w:rsidRPr="00AA733E">
        <w:t>of the annex to decision I/2 on the review of compliance.</w:t>
      </w:r>
    </w:p>
    <w:p w14:paraId="249A1D91" w14:textId="206F6F84" w:rsidR="009344E1" w:rsidRPr="00AA733E" w:rsidRDefault="009344E1" w:rsidP="009344E1">
      <w:pPr>
        <w:pStyle w:val="SingleTxtG"/>
      </w:pPr>
      <w:r w:rsidRPr="00AA733E">
        <w:t>1</w:t>
      </w:r>
      <w:r w:rsidR="00253DCE">
        <w:t>5</w:t>
      </w:r>
      <w:r w:rsidRPr="00AA733E">
        <w:t>.</w:t>
      </w:r>
      <w:r w:rsidRPr="00AA733E">
        <w:tab/>
      </w:r>
      <w:r w:rsidR="00D846C1">
        <w:t xml:space="preserve">The </w:t>
      </w:r>
      <w:r w:rsidRPr="00AA733E">
        <w:t xml:space="preserve">Committee will agree on the format and the content of the report on its activities to be submitted to the Meeting of the Parties. The Committee is expected to agree on the outline of the report and to make a work-sharing arrangement for drafting </w:t>
      </w:r>
      <w:r w:rsidR="00F51A01">
        <w:t>its</w:t>
      </w:r>
      <w:r w:rsidR="00F51A01" w:rsidRPr="00AA733E">
        <w:t xml:space="preserve"> </w:t>
      </w:r>
      <w:r w:rsidRPr="00AA733E">
        <w:t>various sections</w:t>
      </w:r>
      <w:r w:rsidR="00F51A01">
        <w:t xml:space="preserve"> in light of</w:t>
      </w:r>
      <w:r w:rsidRPr="00AA733E">
        <w:t xml:space="preserve"> the expertise and scientific or legal backgrounds of Committee members.</w:t>
      </w:r>
    </w:p>
    <w:p w14:paraId="043CE497" w14:textId="70D16062" w:rsidR="0006795E" w:rsidRPr="001F09D9" w:rsidRDefault="009344E1" w:rsidP="009344E1">
      <w:pPr>
        <w:pStyle w:val="H1G"/>
      </w:pPr>
      <w:r>
        <w:tab/>
        <w:t>7.</w:t>
      </w:r>
      <w:r>
        <w:tab/>
      </w:r>
      <w:r w:rsidR="0006795E" w:rsidRPr="001F09D9">
        <w:t xml:space="preserve">Programme of work and </w:t>
      </w:r>
      <w:r w:rsidR="0006795E" w:rsidRPr="00073E20">
        <w:t>calendar</w:t>
      </w:r>
      <w:r w:rsidR="0006795E" w:rsidRPr="001F09D9">
        <w:t xml:space="preserve"> of future meetings</w:t>
      </w:r>
    </w:p>
    <w:p w14:paraId="2F1A38D1" w14:textId="05C3D256" w:rsidR="0006795E" w:rsidRPr="001F09D9" w:rsidRDefault="00DE1730" w:rsidP="00DE1730">
      <w:pPr>
        <w:pStyle w:val="H4G"/>
      </w:pPr>
      <w:r w:rsidRPr="001F09D9">
        <w:tab/>
      </w:r>
      <w:r w:rsidRPr="001F09D9">
        <w:tab/>
      </w:r>
      <w:r w:rsidR="0006795E" w:rsidRPr="001F09D9">
        <w:t xml:space="preserve">Tentative timing: </w:t>
      </w:r>
      <w:r w:rsidR="0021745D">
        <w:t>Tuesday, 6 November</w:t>
      </w:r>
      <w:r w:rsidR="0006795E" w:rsidRPr="001F09D9">
        <w:t>, 1</w:t>
      </w:r>
      <w:r w:rsidR="00AC4957" w:rsidRPr="001F09D9">
        <w:t>2</w:t>
      </w:r>
      <w:r w:rsidR="00253DCE">
        <w:t>.30</w:t>
      </w:r>
      <w:r w:rsidR="0006795E" w:rsidRPr="001F09D9">
        <w:t>–12</w:t>
      </w:r>
      <w:r w:rsidR="00AC4957" w:rsidRPr="001F09D9">
        <w:t>.</w:t>
      </w:r>
      <w:r w:rsidR="00253DCE">
        <w:t>4</w:t>
      </w:r>
      <w:r w:rsidR="00FA5739">
        <w:t>0</w:t>
      </w:r>
      <w:r w:rsidR="0006795E" w:rsidRPr="001F09D9">
        <w:t xml:space="preserve"> </w:t>
      </w:r>
      <w:r w:rsidR="00AC4957" w:rsidRPr="001F09D9">
        <w:t>p</w:t>
      </w:r>
      <w:r w:rsidR="0006795E" w:rsidRPr="001F09D9">
        <w:t xml:space="preserve">.m. </w:t>
      </w:r>
    </w:p>
    <w:p w14:paraId="1C027A1A" w14:textId="45DEF8FB" w:rsidR="0006795E" w:rsidRPr="001F09D9" w:rsidRDefault="0006795E" w:rsidP="0006795E">
      <w:pPr>
        <w:pStyle w:val="SingleTxtG"/>
      </w:pPr>
      <w:r w:rsidRPr="001F09D9">
        <w:t>1</w:t>
      </w:r>
      <w:r w:rsidR="00253DCE">
        <w:t>6</w:t>
      </w:r>
      <w:r w:rsidRPr="001F09D9">
        <w:t>.</w:t>
      </w:r>
      <w:r w:rsidRPr="001F09D9">
        <w:tab/>
        <w:t xml:space="preserve">The Committee will agree on the dates of its eighteenth </w:t>
      </w:r>
      <w:r w:rsidR="00FA5739">
        <w:t xml:space="preserve">and nineteenth </w:t>
      </w:r>
      <w:r w:rsidRPr="001F09D9">
        <w:t>meetings</w:t>
      </w:r>
      <w:r w:rsidR="008C4167">
        <w:t xml:space="preserve"> and on the issues to be considered</w:t>
      </w:r>
      <w:r w:rsidRPr="001F09D9">
        <w:t>.</w:t>
      </w:r>
    </w:p>
    <w:p w14:paraId="1DF61EA5" w14:textId="60FCC1B0" w:rsidR="00491B8D" w:rsidRPr="001F09D9" w:rsidRDefault="00DE1730" w:rsidP="00F02FFC">
      <w:pPr>
        <w:pStyle w:val="H1G"/>
      </w:pPr>
      <w:r w:rsidRPr="001F09D9">
        <w:tab/>
      </w:r>
      <w:r w:rsidR="009344E1">
        <w:t>8</w:t>
      </w:r>
      <w:r w:rsidR="009A2D5E" w:rsidRPr="001F09D9">
        <w:t>.</w:t>
      </w:r>
      <w:r w:rsidR="009A2D5E" w:rsidRPr="001F09D9">
        <w:tab/>
      </w:r>
      <w:r w:rsidR="00491B8D" w:rsidRPr="001F09D9">
        <w:t>Other business</w:t>
      </w:r>
    </w:p>
    <w:p w14:paraId="69136A98" w14:textId="7631EDD0" w:rsidR="00AC4957" w:rsidRPr="001F09D9" w:rsidRDefault="00DE1730" w:rsidP="00DE1730">
      <w:pPr>
        <w:pStyle w:val="H4G"/>
      </w:pPr>
      <w:r w:rsidRPr="001F09D9">
        <w:tab/>
      </w:r>
      <w:r w:rsidRPr="001F09D9">
        <w:tab/>
      </w:r>
      <w:r w:rsidR="00AC4957" w:rsidRPr="001F09D9">
        <w:t xml:space="preserve">Tentative timing: </w:t>
      </w:r>
      <w:r w:rsidR="0021745D" w:rsidRPr="0021745D">
        <w:t>Tuesday, 6 November</w:t>
      </w:r>
      <w:r w:rsidR="00AC4957" w:rsidRPr="001F09D9">
        <w:t>, 12.</w:t>
      </w:r>
      <w:r w:rsidR="00253DCE">
        <w:t>4</w:t>
      </w:r>
      <w:r w:rsidR="00FA5739">
        <w:t>0</w:t>
      </w:r>
      <w:r w:rsidR="00AC4957" w:rsidRPr="001F09D9">
        <w:t>–12.</w:t>
      </w:r>
      <w:r w:rsidR="00253DCE">
        <w:t>4</w:t>
      </w:r>
      <w:r w:rsidR="00FA5739">
        <w:t>5</w:t>
      </w:r>
      <w:r w:rsidR="00AC4957" w:rsidRPr="001F09D9">
        <w:t xml:space="preserve"> p.m.</w:t>
      </w:r>
    </w:p>
    <w:p w14:paraId="53994EDE" w14:textId="03CD5D8F" w:rsidR="00AC4957" w:rsidRPr="001F09D9" w:rsidRDefault="00AC4957" w:rsidP="00802E97">
      <w:pPr>
        <w:pStyle w:val="SingleTxtG"/>
        <w:spacing w:line="240" w:lineRule="auto"/>
      </w:pPr>
      <w:r w:rsidRPr="001F09D9">
        <w:t>1</w:t>
      </w:r>
      <w:r w:rsidR="00253DCE">
        <w:t>7</w:t>
      </w:r>
      <w:r w:rsidRPr="001F09D9">
        <w:t>.</w:t>
      </w:r>
      <w:r w:rsidRPr="001F09D9">
        <w:tab/>
        <w:t>Committee members wishing to propose points under this item are requested to inform the secretariat as soon as possible.</w:t>
      </w:r>
    </w:p>
    <w:p w14:paraId="2341164B" w14:textId="13DE7344" w:rsidR="00491B8D" w:rsidRPr="001F09D9" w:rsidRDefault="00DE1730" w:rsidP="00A55017">
      <w:pPr>
        <w:pStyle w:val="H1G"/>
      </w:pPr>
      <w:r w:rsidRPr="001F09D9">
        <w:tab/>
      </w:r>
      <w:r w:rsidR="009344E1">
        <w:t>9</w:t>
      </w:r>
      <w:r w:rsidR="00AC4957" w:rsidRPr="001F09D9">
        <w:t>.</w:t>
      </w:r>
      <w:r w:rsidR="00AC4957" w:rsidRPr="001F09D9">
        <w:tab/>
      </w:r>
      <w:bookmarkStart w:id="1" w:name="_GoBack"/>
      <w:bookmarkEnd w:id="1"/>
      <w:r w:rsidR="00491B8D" w:rsidRPr="001F09D9">
        <w:t>Adoption of the report</w:t>
      </w:r>
    </w:p>
    <w:p w14:paraId="21684261" w14:textId="425972B1" w:rsidR="00AC4957" w:rsidRPr="001F09D9" w:rsidRDefault="00DE1730" w:rsidP="00DE1730">
      <w:pPr>
        <w:pStyle w:val="H4G"/>
      </w:pPr>
      <w:r w:rsidRPr="001F09D9">
        <w:tab/>
      </w:r>
      <w:r w:rsidRPr="001F09D9">
        <w:tab/>
      </w:r>
      <w:r w:rsidR="00AC4957" w:rsidRPr="001F09D9">
        <w:t xml:space="preserve">Tentative timing: </w:t>
      </w:r>
      <w:r w:rsidR="0021745D" w:rsidRPr="0021745D">
        <w:t>Tuesday, 6 November</w:t>
      </w:r>
      <w:r w:rsidR="00AC4957" w:rsidRPr="001F09D9">
        <w:t xml:space="preserve">, </w:t>
      </w:r>
      <w:r w:rsidR="00FA5739">
        <w:t>12</w:t>
      </w:r>
      <w:r w:rsidR="00AC4957" w:rsidRPr="001F09D9">
        <w:t>.</w:t>
      </w:r>
      <w:r w:rsidR="00253DCE">
        <w:t>4</w:t>
      </w:r>
      <w:r w:rsidR="00AC4957" w:rsidRPr="001F09D9">
        <w:t>5–</w:t>
      </w:r>
      <w:r w:rsidR="00253DCE">
        <w:t>1</w:t>
      </w:r>
      <w:r w:rsidR="00AC4957" w:rsidRPr="001F09D9">
        <w:t>.0</w:t>
      </w:r>
      <w:r w:rsidR="00253DCE">
        <w:t>0</w:t>
      </w:r>
      <w:r w:rsidR="00AC4957" w:rsidRPr="001F09D9">
        <w:t xml:space="preserve"> p.m.</w:t>
      </w:r>
    </w:p>
    <w:p w14:paraId="1998DDD3" w14:textId="6C94ADED" w:rsidR="009344E1" w:rsidRPr="001F09D9" w:rsidRDefault="00491B8D" w:rsidP="00943911">
      <w:pPr>
        <w:pStyle w:val="SingleTxtG"/>
        <w:spacing w:after="0" w:line="240" w:lineRule="auto"/>
      </w:pPr>
      <w:r w:rsidRPr="001F09D9">
        <w:t>1</w:t>
      </w:r>
      <w:r w:rsidR="00253DCE">
        <w:t>8</w:t>
      </w:r>
      <w:r w:rsidRPr="001F09D9">
        <w:t>.</w:t>
      </w:r>
      <w:r w:rsidRPr="001F09D9">
        <w:tab/>
        <w:t xml:space="preserve">The Committee will agree on the modalities for the preparation and adoption of the report on its </w:t>
      </w:r>
      <w:r w:rsidR="00FA5739">
        <w:t>seventeen</w:t>
      </w:r>
      <w:r w:rsidRPr="001F09D9">
        <w:t>th meeting.</w:t>
      </w:r>
    </w:p>
    <w:p w14:paraId="02458675" w14:textId="3C0E0FDA" w:rsidR="00802E97" w:rsidRPr="001F09D9" w:rsidRDefault="00802E97" w:rsidP="009A1FF7">
      <w:pPr>
        <w:pStyle w:val="SingleTxtG"/>
        <w:spacing w:after="0" w:line="240" w:lineRule="auto"/>
        <w:jc w:val="center"/>
        <w:rPr>
          <w:u w:val="single"/>
        </w:rPr>
      </w:pPr>
      <w:r w:rsidRPr="001F09D9">
        <w:rPr>
          <w:u w:val="single"/>
        </w:rPr>
        <w:tab/>
      </w:r>
      <w:r w:rsidRPr="001F09D9">
        <w:rPr>
          <w:u w:val="single"/>
        </w:rPr>
        <w:tab/>
      </w:r>
      <w:r w:rsidRPr="001F09D9">
        <w:rPr>
          <w:u w:val="single"/>
        </w:rPr>
        <w:tab/>
      </w:r>
    </w:p>
    <w:sectPr w:rsidR="00802E97" w:rsidRPr="001F09D9" w:rsidSect="00802E9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A33B" w14:textId="77777777" w:rsidR="00B77EB6" w:rsidRDefault="00B77EB6"/>
  </w:endnote>
  <w:endnote w:type="continuationSeparator" w:id="0">
    <w:p w14:paraId="0671F14B" w14:textId="77777777" w:rsidR="00B77EB6" w:rsidRDefault="00B77EB6"/>
  </w:endnote>
  <w:endnote w:type="continuationNotice" w:id="1">
    <w:p w14:paraId="00CF1200" w14:textId="77777777" w:rsidR="00B77EB6" w:rsidRDefault="00B77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4271" w14:textId="0F19AE8E" w:rsidR="00433D2B" w:rsidRPr="00491B8D" w:rsidRDefault="00433D2B" w:rsidP="00491B8D">
    <w:pPr>
      <w:pStyle w:val="Footer"/>
      <w:tabs>
        <w:tab w:val="right" w:pos="9638"/>
      </w:tabs>
      <w:rPr>
        <w:sz w:val="18"/>
      </w:rPr>
    </w:pPr>
    <w:r w:rsidRPr="00491B8D">
      <w:rPr>
        <w:b/>
        <w:sz w:val="18"/>
      </w:rPr>
      <w:fldChar w:fldCharType="begin"/>
    </w:r>
    <w:r w:rsidRPr="00491B8D">
      <w:rPr>
        <w:b/>
        <w:sz w:val="18"/>
      </w:rPr>
      <w:instrText xml:space="preserve"> PAGE  \* MERGEFORMAT </w:instrText>
    </w:r>
    <w:r w:rsidRPr="00491B8D">
      <w:rPr>
        <w:b/>
        <w:sz w:val="18"/>
      </w:rPr>
      <w:fldChar w:fldCharType="separate"/>
    </w:r>
    <w:r w:rsidR="00A55017">
      <w:rPr>
        <w:b/>
        <w:noProof/>
        <w:sz w:val="18"/>
      </w:rPr>
      <w:t>4</w:t>
    </w:r>
    <w:r w:rsidRPr="00491B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DB15" w14:textId="4B40EE24" w:rsidR="00433D2B" w:rsidRPr="00491B8D" w:rsidRDefault="00433D2B" w:rsidP="00491B8D">
    <w:pPr>
      <w:pStyle w:val="Footer"/>
      <w:tabs>
        <w:tab w:val="right" w:pos="9638"/>
      </w:tabs>
      <w:rPr>
        <w:b/>
        <w:sz w:val="18"/>
      </w:rPr>
    </w:pPr>
    <w:r>
      <w:tab/>
    </w:r>
    <w:r w:rsidRPr="00491B8D">
      <w:rPr>
        <w:b/>
        <w:sz w:val="18"/>
      </w:rPr>
      <w:fldChar w:fldCharType="begin"/>
    </w:r>
    <w:r w:rsidRPr="00491B8D">
      <w:rPr>
        <w:b/>
        <w:sz w:val="18"/>
      </w:rPr>
      <w:instrText xml:space="preserve"> PAGE  \* MERGEFORMAT </w:instrText>
    </w:r>
    <w:r w:rsidRPr="00491B8D">
      <w:rPr>
        <w:b/>
        <w:sz w:val="18"/>
      </w:rPr>
      <w:fldChar w:fldCharType="separate"/>
    </w:r>
    <w:r w:rsidR="00A55017">
      <w:rPr>
        <w:b/>
        <w:noProof/>
        <w:sz w:val="18"/>
      </w:rPr>
      <w:t>3</w:t>
    </w:r>
    <w:r w:rsidRPr="00491B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6A89" w14:textId="72C167A5" w:rsidR="00EB7543" w:rsidRDefault="00EB7543" w:rsidP="00EB7543">
    <w:pPr>
      <w:pStyle w:val="Footer"/>
    </w:pPr>
    <w:r>
      <w:rPr>
        <w:rFonts w:ascii="C39T30Lfz" w:hAnsi="C39T30Lfz"/>
        <w:noProof/>
        <w:sz w:val="56"/>
        <w:lang w:eastAsia="zh-CN"/>
      </w:rPr>
      <w:drawing>
        <wp:anchor distT="0" distB="0" distL="114300" distR="114300" simplePos="0" relativeHeight="251660288" behindDoc="0" locked="0" layoutInCell="1" allowOverlap="1" wp14:anchorId="12CA7B3B" wp14:editId="76C1FFDB">
          <wp:simplePos x="0" y="0"/>
          <wp:positionH relativeFrom="margin">
            <wp:posOffset>5478780</wp:posOffset>
          </wp:positionH>
          <wp:positionV relativeFrom="margin">
            <wp:posOffset>7936662</wp:posOffset>
          </wp:positionV>
          <wp:extent cx="638175" cy="638175"/>
          <wp:effectExtent l="0" t="0" r="9525" b="9525"/>
          <wp:wrapNone/>
          <wp:docPr id="2" name="Picture 1" descr="https://undocs.org/m2/QRCode.ashx?DS=ECE/MP.WH/C.1/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H/C.1/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67FE1C07" wp14:editId="0B81634E">
          <wp:simplePos x="0" y="0"/>
          <wp:positionH relativeFrom="margin">
            <wp:posOffset>4320540</wp:posOffset>
          </wp:positionH>
          <wp:positionV relativeFrom="margin">
            <wp:posOffset>8286750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1E33B51" w14:textId="061FB062" w:rsidR="00EB7543" w:rsidRDefault="00EB7543" w:rsidP="00EB7543">
    <w:pPr>
      <w:pStyle w:val="Footer"/>
      <w:ind w:right="1134"/>
      <w:rPr>
        <w:sz w:val="20"/>
      </w:rPr>
    </w:pPr>
    <w:r>
      <w:rPr>
        <w:sz w:val="20"/>
      </w:rPr>
      <w:t>GE.18-14045(E)</w:t>
    </w:r>
  </w:p>
  <w:p w14:paraId="10C78FA0" w14:textId="18A93809" w:rsidR="00EB7543" w:rsidRPr="00EB7543" w:rsidRDefault="00EB7543" w:rsidP="00EB75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8449" w14:textId="77777777" w:rsidR="00B77EB6" w:rsidRPr="000B175B" w:rsidRDefault="00B77EB6" w:rsidP="000B175B">
      <w:pPr>
        <w:tabs>
          <w:tab w:val="right" w:pos="2155"/>
        </w:tabs>
        <w:spacing w:after="80"/>
        <w:ind w:left="680"/>
        <w:rPr>
          <w:u w:val="single"/>
        </w:rPr>
      </w:pPr>
      <w:r>
        <w:rPr>
          <w:u w:val="single"/>
        </w:rPr>
        <w:tab/>
      </w:r>
    </w:p>
  </w:footnote>
  <w:footnote w:type="continuationSeparator" w:id="0">
    <w:p w14:paraId="41A96814" w14:textId="77777777" w:rsidR="00B77EB6" w:rsidRPr="00FC68B7" w:rsidRDefault="00B77EB6" w:rsidP="00FC68B7">
      <w:pPr>
        <w:tabs>
          <w:tab w:val="left" w:pos="2155"/>
        </w:tabs>
        <w:spacing w:after="80"/>
        <w:ind w:left="680"/>
        <w:rPr>
          <w:u w:val="single"/>
        </w:rPr>
      </w:pPr>
      <w:r>
        <w:rPr>
          <w:u w:val="single"/>
        </w:rPr>
        <w:tab/>
      </w:r>
    </w:p>
  </w:footnote>
  <w:footnote w:type="continuationNotice" w:id="1">
    <w:p w14:paraId="009CE874" w14:textId="77777777" w:rsidR="00B77EB6" w:rsidRDefault="00B77EB6"/>
  </w:footnote>
  <w:footnote w:id="2">
    <w:p w14:paraId="26B141D6" w14:textId="4F2134FF" w:rsidR="00802E97" w:rsidRPr="00802E97" w:rsidRDefault="00802E97">
      <w:pPr>
        <w:pStyle w:val="FootnoteText"/>
      </w:pPr>
      <w:r>
        <w:rPr>
          <w:rStyle w:val="FootnoteReference"/>
        </w:rPr>
        <w:tab/>
      </w:r>
      <w:r w:rsidRPr="00802E97">
        <w:rPr>
          <w:rStyle w:val="FootnoteReference"/>
          <w:sz w:val="20"/>
          <w:vertAlign w:val="baseline"/>
        </w:rPr>
        <w:t>*</w:t>
      </w:r>
      <w:r>
        <w:rPr>
          <w:rStyle w:val="FootnoteReference"/>
          <w:sz w:val="20"/>
          <w:vertAlign w:val="baseline"/>
        </w:rPr>
        <w:tab/>
      </w:r>
      <w:r w:rsidRPr="00DF0597">
        <w:t>As part of the accreditation procedures for meetings at the United Nations Office at Geneva,</w:t>
      </w:r>
      <w:r w:rsidR="002A7FC6">
        <w:t xml:space="preserve"> </w:t>
      </w:r>
      <w:r w:rsidRPr="00DF0597">
        <w:t>delegates</w:t>
      </w:r>
      <w:r w:rsidR="002A7FC6">
        <w:t> </w:t>
      </w:r>
      <w:r w:rsidRPr="00DF0597">
        <w:t>are requested to register online for the meeting</w:t>
      </w:r>
      <w:r w:rsidR="00EA3520">
        <w:t>,</w:t>
      </w:r>
      <w:r w:rsidRPr="00DF0597">
        <w:t xml:space="preserve"> as soon as possible</w:t>
      </w:r>
      <w:r w:rsidR="00EA3520">
        <w:t xml:space="preserve"> and</w:t>
      </w:r>
      <w:r w:rsidRPr="00DF0597">
        <w:t xml:space="preserve"> </w:t>
      </w:r>
      <w:r w:rsidRPr="000D72F0">
        <w:rPr>
          <w:b/>
        </w:rPr>
        <w:t>no later</w:t>
      </w:r>
      <w:r w:rsidR="002A7FC6">
        <w:rPr>
          <w:b/>
        </w:rPr>
        <w:t> </w:t>
      </w:r>
      <w:r w:rsidRPr="000D72F0">
        <w:rPr>
          <w:b/>
        </w:rPr>
        <w:t>than </w:t>
      </w:r>
      <w:r w:rsidR="0021745D">
        <w:rPr>
          <w:b/>
        </w:rPr>
        <w:t>15 October</w:t>
      </w:r>
      <w:r w:rsidR="002A7FC6">
        <w:rPr>
          <w:b/>
        </w:rPr>
        <w:t> </w:t>
      </w:r>
      <w:r w:rsidRPr="000D72F0">
        <w:rPr>
          <w:b/>
        </w:rPr>
        <w:t>2018</w:t>
      </w:r>
      <w:r w:rsidR="00EA3520" w:rsidRPr="00D846C1">
        <w:rPr>
          <w:bCs/>
        </w:rPr>
        <w:t>,</w:t>
      </w:r>
      <w:r w:rsidRPr="00DF0597">
        <w:t xml:space="preserve"> through the following link: </w:t>
      </w:r>
      <w:hyperlink r:id="rId1" w:history="1">
        <w:r w:rsidR="006F5B15" w:rsidRPr="006F5B15">
          <w:rPr>
            <w:rStyle w:val="Hyperlink"/>
          </w:rPr>
          <w:t>https://uncdb.unece.org/app/ext/meeting-registration?id=3yPCRx</w:t>
        </w:r>
      </w:hyperlink>
      <w:r w:rsidRPr="000D72F0">
        <w:t>.</w:t>
      </w:r>
      <w:r w:rsidRPr="00DF0597">
        <w:t xml:space="preserve"> On their way to the meeting, delegates should obtain an identification badge at the Pass and Identification Unit of the United Nations Office at Geneva Security and Safety Section</w:t>
      </w:r>
      <w:r w:rsidR="00EA3520">
        <w:t>,</w:t>
      </w:r>
      <w:r w:rsidRPr="00DF0597">
        <w:t xml:space="preserve"> located at the </w:t>
      </w:r>
      <w:proofErr w:type="spellStart"/>
      <w:r w:rsidRPr="00DF0597">
        <w:t>Pregny</w:t>
      </w:r>
      <w:proofErr w:type="spellEnd"/>
      <w:r w:rsidRPr="00DF0597">
        <w:t xml:space="preserve"> Gate, Avenue de la </w:t>
      </w:r>
      <w:proofErr w:type="spellStart"/>
      <w:r w:rsidRPr="00DF0597">
        <w:t>Paix</w:t>
      </w:r>
      <w:proofErr w:type="spellEnd"/>
      <w:r w:rsidRPr="00DF0597">
        <w:t xml:space="preserve"> 14 (see the map on the Economic Commission for Europe website, http://</w:t>
      </w:r>
      <w:hyperlink r:id="rId2" w:history="1">
        <w:r w:rsidRPr="00DF0597">
          <w:t>www.unece.org/meetings/practical.html). Plea</w:t>
        </w:r>
      </w:hyperlink>
      <w:r w:rsidRPr="00DF0597">
        <w:t>se allow sufficient time for this. In case of difficulty, please contact the secretariat by telephone at +41 22 917 1606.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561B" w14:textId="57DC56F3" w:rsidR="00433D2B" w:rsidRPr="00491B8D" w:rsidRDefault="00433D2B">
    <w:pPr>
      <w:pStyle w:val="Header"/>
    </w:pPr>
    <w:r>
      <w:t>ECE/MP.WH/C.1/201</w:t>
    </w:r>
    <w:r w:rsidR="0056197D">
      <w:t>8</w:t>
    </w:r>
    <w:r>
      <w:t>/</w:t>
    </w:r>
    <w:r w:rsidR="00936EA8">
      <w:t>3</w:t>
    </w:r>
    <w:r>
      <w:br/>
    </w:r>
    <w:r w:rsidRPr="007646A0">
      <w:t>EUPCR/1611921/2.1/201</w:t>
    </w:r>
    <w:r w:rsidR="0056197D">
      <w:t>8</w:t>
    </w:r>
    <w:r w:rsidRPr="007646A0">
      <w:t>/CC</w:t>
    </w:r>
    <w:r w:rsidR="00936EA8">
      <w:t>2</w:t>
    </w:r>
    <w:r w:rsidRPr="007646A0">
      <w:t>/03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2F1D" w14:textId="3FF22894" w:rsidR="00433D2B" w:rsidRPr="00491B8D" w:rsidRDefault="00433D2B" w:rsidP="00491B8D">
    <w:pPr>
      <w:pStyle w:val="Header"/>
      <w:jc w:val="right"/>
    </w:pPr>
    <w:r>
      <w:t>ECE/MP.WH/C.1/201</w:t>
    </w:r>
    <w:r w:rsidR="0056197D">
      <w:t>8</w:t>
    </w:r>
    <w:r>
      <w:t>/</w:t>
    </w:r>
    <w:r w:rsidR="00936EA8">
      <w:t>3</w:t>
    </w:r>
    <w:r>
      <w:br/>
    </w:r>
    <w:r w:rsidRPr="007646A0">
      <w:t>EUPCR/1611921/2.1/201</w:t>
    </w:r>
    <w:r w:rsidR="0056197D">
      <w:t>8</w:t>
    </w:r>
    <w:r w:rsidRPr="007646A0">
      <w:t>/CC</w:t>
    </w:r>
    <w:r w:rsidR="00936EA8">
      <w:t>2</w:t>
    </w:r>
    <w:r w:rsidRPr="007646A0">
      <w:t>/03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92697C"/>
    <w:multiLevelType w:val="hybridMultilevel"/>
    <w:tmpl w:val="A3E624B2"/>
    <w:lvl w:ilvl="0" w:tplc="EE98E12A">
      <w:start w:val="1"/>
      <w:numFmt w:val="decimal"/>
      <w:lvlText w:val="%1."/>
      <w:lvlJc w:val="left"/>
      <w:pPr>
        <w:ind w:left="1140" w:hanging="4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E86EBE"/>
    <w:multiLevelType w:val="hybridMultilevel"/>
    <w:tmpl w:val="74F41A7A"/>
    <w:lvl w:ilvl="0" w:tplc="FCF4C056">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D1063"/>
    <w:multiLevelType w:val="hybridMultilevel"/>
    <w:tmpl w:val="079E9C1C"/>
    <w:lvl w:ilvl="0" w:tplc="064853FA">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4CA81712"/>
    <w:multiLevelType w:val="hybridMultilevel"/>
    <w:tmpl w:val="B1720CB4"/>
    <w:lvl w:ilvl="0" w:tplc="91248862">
      <w:start w:val="1"/>
      <w:numFmt w:val="decimal"/>
      <w:lvlText w:val="%1."/>
      <w:lvlJc w:val="left"/>
      <w:pPr>
        <w:ind w:left="1140" w:hanging="4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B81D57"/>
    <w:multiLevelType w:val="hybridMultilevel"/>
    <w:tmpl w:val="79EE1130"/>
    <w:lvl w:ilvl="0" w:tplc="C43A9E9E">
      <w:start w:val="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2"/>
  </w:num>
  <w:num w:numId="19">
    <w:abstractNumId w:val="18"/>
  </w:num>
  <w:num w:numId="20">
    <w:abstractNumId w:val="19"/>
  </w:num>
  <w:num w:numId="21">
    <w:abstractNumId w:val="21"/>
  </w:num>
  <w:num w:numId="22">
    <w:abstractNumId w:val="17"/>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D"/>
    <w:rsid w:val="00002A7D"/>
    <w:rsid w:val="000038A8"/>
    <w:rsid w:val="00006790"/>
    <w:rsid w:val="00027624"/>
    <w:rsid w:val="000354F0"/>
    <w:rsid w:val="00046A53"/>
    <w:rsid w:val="000508FB"/>
    <w:rsid w:val="00050F6B"/>
    <w:rsid w:val="00057680"/>
    <w:rsid w:val="000678CD"/>
    <w:rsid w:val="0006795E"/>
    <w:rsid w:val="000729D2"/>
    <w:rsid w:val="00072C8C"/>
    <w:rsid w:val="00073E20"/>
    <w:rsid w:val="00077385"/>
    <w:rsid w:val="00080AD5"/>
    <w:rsid w:val="00081CE0"/>
    <w:rsid w:val="00084D30"/>
    <w:rsid w:val="00090320"/>
    <w:rsid w:val="000931C0"/>
    <w:rsid w:val="000A2E09"/>
    <w:rsid w:val="000B175B"/>
    <w:rsid w:val="000B2194"/>
    <w:rsid w:val="000B3A0F"/>
    <w:rsid w:val="000C34F8"/>
    <w:rsid w:val="000C635D"/>
    <w:rsid w:val="000D5685"/>
    <w:rsid w:val="000D68D1"/>
    <w:rsid w:val="000D72F0"/>
    <w:rsid w:val="000E0415"/>
    <w:rsid w:val="000F7715"/>
    <w:rsid w:val="001004EE"/>
    <w:rsid w:val="00102A8C"/>
    <w:rsid w:val="00104CC1"/>
    <w:rsid w:val="001077B0"/>
    <w:rsid w:val="0011054D"/>
    <w:rsid w:val="00123662"/>
    <w:rsid w:val="00125850"/>
    <w:rsid w:val="001274E4"/>
    <w:rsid w:val="00133EC8"/>
    <w:rsid w:val="001431A2"/>
    <w:rsid w:val="00151F0C"/>
    <w:rsid w:val="00152F49"/>
    <w:rsid w:val="00156B99"/>
    <w:rsid w:val="001619FE"/>
    <w:rsid w:val="00166124"/>
    <w:rsid w:val="00176306"/>
    <w:rsid w:val="00184DDA"/>
    <w:rsid w:val="00186249"/>
    <w:rsid w:val="001900CD"/>
    <w:rsid w:val="0019108B"/>
    <w:rsid w:val="001A0452"/>
    <w:rsid w:val="001A229C"/>
    <w:rsid w:val="001B4B04"/>
    <w:rsid w:val="001B5875"/>
    <w:rsid w:val="001C4128"/>
    <w:rsid w:val="001C43DC"/>
    <w:rsid w:val="001C48B8"/>
    <w:rsid w:val="001C4B9C"/>
    <w:rsid w:val="001C6663"/>
    <w:rsid w:val="001C7658"/>
    <w:rsid w:val="001C7895"/>
    <w:rsid w:val="001D26DF"/>
    <w:rsid w:val="001E4297"/>
    <w:rsid w:val="001F09D9"/>
    <w:rsid w:val="001F1599"/>
    <w:rsid w:val="001F19C4"/>
    <w:rsid w:val="001F487B"/>
    <w:rsid w:val="00200094"/>
    <w:rsid w:val="002043F0"/>
    <w:rsid w:val="002058BA"/>
    <w:rsid w:val="002109B4"/>
    <w:rsid w:val="00211E0B"/>
    <w:rsid w:val="0021745D"/>
    <w:rsid w:val="00221DA4"/>
    <w:rsid w:val="00226263"/>
    <w:rsid w:val="00231546"/>
    <w:rsid w:val="00232575"/>
    <w:rsid w:val="00237165"/>
    <w:rsid w:val="002418C3"/>
    <w:rsid w:val="00244CB5"/>
    <w:rsid w:val="00247258"/>
    <w:rsid w:val="002525DD"/>
    <w:rsid w:val="00253DCE"/>
    <w:rsid w:val="0025423C"/>
    <w:rsid w:val="00257CAC"/>
    <w:rsid w:val="00266CC7"/>
    <w:rsid w:val="0027237A"/>
    <w:rsid w:val="00274973"/>
    <w:rsid w:val="00282A54"/>
    <w:rsid w:val="00296682"/>
    <w:rsid w:val="002974E9"/>
    <w:rsid w:val="002A7B4D"/>
    <w:rsid w:val="002A7F94"/>
    <w:rsid w:val="002A7FC6"/>
    <w:rsid w:val="002B109A"/>
    <w:rsid w:val="002C1CF3"/>
    <w:rsid w:val="002C6A37"/>
    <w:rsid w:val="002C6D45"/>
    <w:rsid w:val="002D6E53"/>
    <w:rsid w:val="002E1F68"/>
    <w:rsid w:val="002F046D"/>
    <w:rsid w:val="002F2094"/>
    <w:rsid w:val="00301648"/>
    <w:rsid w:val="00301764"/>
    <w:rsid w:val="0030243D"/>
    <w:rsid w:val="00303900"/>
    <w:rsid w:val="003071AA"/>
    <w:rsid w:val="003229D8"/>
    <w:rsid w:val="00323AA0"/>
    <w:rsid w:val="00326BF9"/>
    <w:rsid w:val="00336C97"/>
    <w:rsid w:val="00336D3C"/>
    <w:rsid w:val="00337F88"/>
    <w:rsid w:val="00341923"/>
    <w:rsid w:val="00342432"/>
    <w:rsid w:val="00344458"/>
    <w:rsid w:val="00347945"/>
    <w:rsid w:val="0035223F"/>
    <w:rsid w:val="00352D4B"/>
    <w:rsid w:val="00355546"/>
    <w:rsid w:val="0035638C"/>
    <w:rsid w:val="003672C4"/>
    <w:rsid w:val="003727BA"/>
    <w:rsid w:val="0037762E"/>
    <w:rsid w:val="00395639"/>
    <w:rsid w:val="00395FE4"/>
    <w:rsid w:val="00397736"/>
    <w:rsid w:val="003A46BB"/>
    <w:rsid w:val="003A4EC7"/>
    <w:rsid w:val="003A7295"/>
    <w:rsid w:val="003B1F60"/>
    <w:rsid w:val="003C2CC4"/>
    <w:rsid w:val="003D15B7"/>
    <w:rsid w:val="003D33B1"/>
    <w:rsid w:val="003D4B23"/>
    <w:rsid w:val="003E278A"/>
    <w:rsid w:val="003E43D3"/>
    <w:rsid w:val="0040462B"/>
    <w:rsid w:val="00413520"/>
    <w:rsid w:val="00415DFC"/>
    <w:rsid w:val="00421E9D"/>
    <w:rsid w:val="004325CB"/>
    <w:rsid w:val="00433D2B"/>
    <w:rsid w:val="00440A07"/>
    <w:rsid w:val="00447BB3"/>
    <w:rsid w:val="00462880"/>
    <w:rsid w:val="00462B2E"/>
    <w:rsid w:val="00476F24"/>
    <w:rsid w:val="00480307"/>
    <w:rsid w:val="00491B8D"/>
    <w:rsid w:val="004931AC"/>
    <w:rsid w:val="00494CEC"/>
    <w:rsid w:val="004A1708"/>
    <w:rsid w:val="004A2C73"/>
    <w:rsid w:val="004A2E12"/>
    <w:rsid w:val="004B175D"/>
    <w:rsid w:val="004B1E0E"/>
    <w:rsid w:val="004C55B0"/>
    <w:rsid w:val="004E1FF6"/>
    <w:rsid w:val="004F0CAF"/>
    <w:rsid w:val="004F6BA0"/>
    <w:rsid w:val="00502B43"/>
    <w:rsid w:val="00503BEA"/>
    <w:rsid w:val="00511262"/>
    <w:rsid w:val="00511975"/>
    <w:rsid w:val="00515EB2"/>
    <w:rsid w:val="005313D9"/>
    <w:rsid w:val="00532533"/>
    <w:rsid w:val="00533616"/>
    <w:rsid w:val="00535ABA"/>
    <w:rsid w:val="0053768B"/>
    <w:rsid w:val="005420F2"/>
    <w:rsid w:val="0054285C"/>
    <w:rsid w:val="0056197D"/>
    <w:rsid w:val="005674F4"/>
    <w:rsid w:val="0057232F"/>
    <w:rsid w:val="00584173"/>
    <w:rsid w:val="00595520"/>
    <w:rsid w:val="005A07C4"/>
    <w:rsid w:val="005A44B9"/>
    <w:rsid w:val="005B1BA0"/>
    <w:rsid w:val="005B3DB3"/>
    <w:rsid w:val="005D15CA"/>
    <w:rsid w:val="005D5338"/>
    <w:rsid w:val="005F3066"/>
    <w:rsid w:val="005F3E61"/>
    <w:rsid w:val="005F4DC1"/>
    <w:rsid w:val="00602274"/>
    <w:rsid w:val="00604DDD"/>
    <w:rsid w:val="0061126D"/>
    <w:rsid w:val="006115CC"/>
    <w:rsid w:val="00611FC4"/>
    <w:rsid w:val="006176FB"/>
    <w:rsid w:val="00621C84"/>
    <w:rsid w:val="00630FCB"/>
    <w:rsid w:val="00632B7B"/>
    <w:rsid w:val="00636681"/>
    <w:rsid w:val="00637F07"/>
    <w:rsid w:val="00640B26"/>
    <w:rsid w:val="006459FA"/>
    <w:rsid w:val="006712FA"/>
    <w:rsid w:val="006770B2"/>
    <w:rsid w:val="006874A8"/>
    <w:rsid w:val="0069166D"/>
    <w:rsid w:val="00692D32"/>
    <w:rsid w:val="006940E1"/>
    <w:rsid w:val="00696A1E"/>
    <w:rsid w:val="006A3C72"/>
    <w:rsid w:val="006A7392"/>
    <w:rsid w:val="006B03A1"/>
    <w:rsid w:val="006B128D"/>
    <w:rsid w:val="006B2E5E"/>
    <w:rsid w:val="006B67D9"/>
    <w:rsid w:val="006C06CA"/>
    <w:rsid w:val="006C3FC4"/>
    <w:rsid w:val="006C5535"/>
    <w:rsid w:val="006D0589"/>
    <w:rsid w:val="006D1D7F"/>
    <w:rsid w:val="006D1EF5"/>
    <w:rsid w:val="006E3F0B"/>
    <w:rsid w:val="006E4858"/>
    <w:rsid w:val="006E564B"/>
    <w:rsid w:val="006E7154"/>
    <w:rsid w:val="006F0D2C"/>
    <w:rsid w:val="006F19EA"/>
    <w:rsid w:val="006F5536"/>
    <w:rsid w:val="006F5B15"/>
    <w:rsid w:val="007003CD"/>
    <w:rsid w:val="007030E4"/>
    <w:rsid w:val="0070701E"/>
    <w:rsid w:val="0072632A"/>
    <w:rsid w:val="007358E8"/>
    <w:rsid w:val="00736ECE"/>
    <w:rsid w:val="0074533B"/>
    <w:rsid w:val="00755B55"/>
    <w:rsid w:val="007643BC"/>
    <w:rsid w:val="007646A0"/>
    <w:rsid w:val="007660C0"/>
    <w:rsid w:val="00773FD0"/>
    <w:rsid w:val="00774C9E"/>
    <w:rsid w:val="00787526"/>
    <w:rsid w:val="007927BB"/>
    <w:rsid w:val="007942A0"/>
    <w:rsid w:val="007959FE"/>
    <w:rsid w:val="007A0CF1"/>
    <w:rsid w:val="007A3C6E"/>
    <w:rsid w:val="007B6BA5"/>
    <w:rsid w:val="007C3390"/>
    <w:rsid w:val="007C42D8"/>
    <w:rsid w:val="007C4F4B"/>
    <w:rsid w:val="007D05E8"/>
    <w:rsid w:val="007D7362"/>
    <w:rsid w:val="007D7E62"/>
    <w:rsid w:val="007E3B12"/>
    <w:rsid w:val="007E737F"/>
    <w:rsid w:val="007F0688"/>
    <w:rsid w:val="007F5CE2"/>
    <w:rsid w:val="007F6611"/>
    <w:rsid w:val="007F75C5"/>
    <w:rsid w:val="00802E97"/>
    <w:rsid w:val="0080725E"/>
    <w:rsid w:val="00810BAC"/>
    <w:rsid w:val="00811263"/>
    <w:rsid w:val="008175E9"/>
    <w:rsid w:val="00821C3A"/>
    <w:rsid w:val="00822F70"/>
    <w:rsid w:val="008242D7"/>
    <w:rsid w:val="008255A3"/>
    <w:rsid w:val="0082577B"/>
    <w:rsid w:val="008415F6"/>
    <w:rsid w:val="008449B8"/>
    <w:rsid w:val="00864767"/>
    <w:rsid w:val="00866893"/>
    <w:rsid w:val="00866F02"/>
    <w:rsid w:val="00867D18"/>
    <w:rsid w:val="00871F9A"/>
    <w:rsid w:val="00871FD5"/>
    <w:rsid w:val="00875B2A"/>
    <w:rsid w:val="0088172E"/>
    <w:rsid w:val="00881EFA"/>
    <w:rsid w:val="008879CB"/>
    <w:rsid w:val="0089060E"/>
    <w:rsid w:val="008979B1"/>
    <w:rsid w:val="008A2A25"/>
    <w:rsid w:val="008A3686"/>
    <w:rsid w:val="008A6B25"/>
    <w:rsid w:val="008A6C4F"/>
    <w:rsid w:val="008B389E"/>
    <w:rsid w:val="008C4167"/>
    <w:rsid w:val="008D045E"/>
    <w:rsid w:val="008D3F25"/>
    <w:rsid w:val="008D410D"/>
    <w:rsid w:val="008D4D82"/>
    <w:rsid w:val="008E0E46"/>
    <w:rsid w:val="008E7116"/>
    <w:rsid w:val="008E7D01"/>
    <w:rsid w:val="008F143B"/>
    <w:rsid w:val="008F3882"/>
    <w:rsid w:val="008F4968"/>
    <w:rsid w:val="008F4B7C"/>
    <w:rsid w:val="008F7981"/>
    <w:rsid w:val="00926D1E"/>
    <w:rsid w:val="00926E47"/>
    <w:rsid w:val="00931D1D"/>
    <w:rsid w:val="009344E1"/>
    <w:rsid w:val="00936EA8"/>
    <w:rsid w:val="00943911"/>
    <w:rsid w:val="00947162"/>
    <w:rsid w:val="0095151A"/>
    <w:rsid w:val="009608DB"/>
    <w:rsid w:val="009610D0"/>
    <w:rsid w:val="0096375C"/>
    <w:rsid w:val="00964FB6"/>
    <w:rsid w:val="00965FE7"/>
    <w:rsid w:val="009662E6"/>
    <w:rsid w:val="00967871"/>
    <w:rsid w:val="00967F9B"/>
    <w:rsid w:val="0097095E"/>
    <w:rsid w:val="00975063"/>
    <w:rsid w:val="0098592B"/>
    <w:rsid w:val="00985FC4"/>
    <w:rsid w:val="00990766"/>
    <w:rsid w:val="00991261"/>
    <w:rsid w:val="009947E3"/>
    <w:rsid w:val="00995CF5"/>
    <w:rsid w:val="0099645F"/>
    <w:rsid w:val="009964C4"/>
    <w:rsid w:val="0099781B"/>
    <w:rsid w:val="009A1FF7"/>
    <w:rsid w:val="009A2D5E"/>
    <w:rsid w:val="009A7B81"/>
    <w:rsid w:val="009D01C0"/>
    <w:rsid w:val="009D5FBA"/>
    <w:rsid w:val="009D6A08"/>
    <w:rsid w:val="009E0A16"/>
    <w:rsid w:val="009E2472"/>
    <w:rsid w:val="009E6CB7"/>
    <w:rsid w:val="009E7712"/>
    <w:rsid w:val="009E7970"/>
    <w:rsid w:val="009F2EAC"/>
    <w:rsid w:val="009F3DE9"/>
    <w:rsid w:val="009F57E3"/>
    <w:rsid w:val="00A04BAE"/>
    <w:rsid w:val="00A04BBA"/>
    <w:rsid w:val="00A10F4F"/>
    <w:rsid w:val="00A11067"/>
    <w:rsid w:val="00A1534A"/>
    <w:rsid w:val="00A1704A"/>
    <w:rsid w:val="00A17F35"/>
    <w:rsid w:val="00A201B3"/>
    <w:rsid w:val="00A23EC8"/>
    <w:rsid w:val="00A25503"/>
    <w:rsid w:val="00A270B5"/>
    <w:rsid w:val="00A40408"/>
    <w:rsid w:val="00A425EB"/>
    <w:rsid w:val="00A54AC7"/>
    <w:rsid w:val="00A55017"/>
    <w:rsid w:val="00A71525"/>
    <w:rsid w:val="00A72F22"/>
    <w:rsid w:val="00A733BC"/>
    <w:rsid w:val="00A748A6"/>
    <w:rsid w:val="00A758AF"/>
    <w:rsid w:val="00A76A69"/>
    <w:rsid w:val="00A879A4"/>
    <w:rsid w:val="00AA0FF8"/>
    <w:rsid w:val="00AB2FDC"/>
    <w:rsid w:val="00AB69BA"/>
    <w:rsid w:val="00AC0F2C"/>
    <w:rsid w:val="00AC4957"/>
    <w:rsid w:val="00AC502A"/>
    <w:rsid w:val="00AC6A6F"/>
    <w:rsid w:val="00AE0E59"/>
    <w:rsid w:val="00AF17D2"/>
    <w:rsid w:val="00AF35CB"/>
    <w:rsid w:val="00AF58C1"/>
    <w:rsid w:val="00B04A3F"/>
    <w:rsid w:val="00B06643"/>
    <w:rsid w:val="00B133DF"/>
    <w:rsid w:val="00B14F40"/>
    <w:rsid w:val="00B15055"/>
    <w:rsid w:val="00B30179"/>
    <w:rsid w:val="00B31381"/>
    <w:rsid w:val="00B37B15"/>
    <w:rsid w:val="00B40180"/>
    <w:rsid w:val="00B45C02"/>
    <w:rsid w:val="00B54B65"/>
    <w:rsid w:val="00B72A1E"/>
    <w:rsid w:val="00B745E2"/>
    <w:rsid w:val="00B77EB6"/>
    <w:rsid w:val="00B81E12"/>
    <w:rsid w:val="00BA0566"/>
    <w:rsid w:val="00BA339B"/>
    <w:rsid w:val="00BC1E7E"/>
    <w:rsid w:val="00BC74E9"/>
    <w:rsid w:val="00BC7F91"/>
    <w:rsid w:val="00BD3B2D"/>
    <w:rsid w:val="00BD4612"/>
    <w:rsid w:val="00BE2E21"/>
    <w:rsid w:val="00BE36A9"/>
    <w:rsid w:val="00BE618E"/>
    <w:rsid w:val="00BE7BEC"/>
    <w:rsid w:val="00BF0A5A"/>
    <w:rsid w:val="00BF0E63"/>
    <w:rsid w:val="00BF12A3"/>
    <w:rsid w:val="00BF16D7"/>
    <w:rsid w:val="00BF2373"/>
    <w:rsid w:val="00C044E2"/>
    <w:rsid w:val="00C048CB"/>
    <w:rsid w:val="00C066F3"/>
    <w:rsid w:val="00C13989"/>
    <w:rsid w:val="00C13A47"/>
    <w:rsid w:val="00C142B7"/>
    <w:rsid w:val="00C158A4"/>
    <w:rsid w:val="00C227DB"/>
    <w:rsid w:val="00C27D07"/>
    <w:rsid w:val="00C40269"/>
    <w:rsid w:val="00C463DD"/>
    <w:rsid w:val="00C54960"/>
    <w:rsid w:val="00C734DA"/>
    <w:rsid w:val="00C73555"/>
    <w:rsid w:val="00C745C3"/>
    <w:rsid w:val="00C858D3"/>
    <w:rsid w:val="00C93DBA"/>
    <w:rsid w:val="00CA24A4"/>
    <w:rsid w:val="00CB348D"/>
    <w:rsid w:val="00CC0F03"/>
    <w:rsid w:val="00CD40D6"/>
    <w:rsid w:val="00CD46F5"/>
    <w:rsid w:val="00CE4A8F"/>
    <w:rsid w:val="00CF071D"/>
    <w:rsid w:val="00D0193D"/>
    <w:rsid w:val="00D069A8"/>
    <w:rsid w:val="00D10297"/>
    <w:rsid w:val="00D15B04"/>
    <w:rsid w:val="00D2031B"/>
    <w:rsid w:val="00D205E2"/>
    <w:rsid w:val="00D22C59"/>
    <w:rsid w:val="00D24EF3"/>
    <w:rsid w:val="00D25FE2"/>
    <w:rsid w:val="00D27437"/>
    <w:rsid w:val="00D37DA9"/>
    <w:rsid w:val="00D406A7"/>
    <w:rsid w:val="00D43252"/>
    <w:rsid w:val="00D43887"/>
    <w:rsid w:val="00D44D86"/>
    <w:rsid w:val="00D44F8A"/>
    <w:rsid w:val="00D50B7D"/>
    <w:rsid w:val="00D52012"/>
    <w:rsid w:val="00D704E5"/>
    <w:rsid w:val="00D72727"/>
    <w:rsid w:val="00D75EF1"/>
    <w:rsid w:val="00D846C1"/>
    <w:rsid w:val="00D8716E"/>
    <w:rsid w:val="00D978C6"/>
    <w:rsid w:val="00DA0956"/>
    <w:rsid w:val="00DA357F"/>
    <w:rsid w:val="00DA3E12"/>
    <w:rsid w:val="00DB1A3C"/>
    <w:rsid w:val="00DB1AE7"/>
    <w:rsid w:val="00DC18AD"/>
    <w:rsid w:val="00DD0C04"/>
    <w:rsid w:val="00DD55B1"/>
    <w:rsid w:val="00DE1730"/>
    <w:rsid w:val="00DE436A"/>
    <w:rsid w:val="00DF0597"/>
    <w:rsid w:val="00DF2BDA"/>
    <w:rsid w:val="00DF7CAE"/>
    <w:rsid w:val="00DF7D2C"/>
    <w:rsid w:val="00E166F9"/>
    <w:rsid w:val="00E310A2"/>
    <w:rsid w:val="00E412B5"/>
    <w:rsid w:val="00E41578"/>
    <w:rsid w:val="00E423C0"/>
    <w:rsid w:val="00E6414C"/>
    <w:rsid w:val="00E7260F"/>
    <w:rsid w:val="00E74A21"/>
    <w:rsid w:val="00E8702D"/>
    <w:rsid w:val="00E916A9"/>
    <w:rsid w:val="00E916DE"/>
    <w:rsid w:val="00E925AD"/>
    <w:rsid w:val="00E96630"/>
    <w:rsid w:val="00EA3520"/>
    <w:rsid w:val="00EB7543"/>
    <w:rsid w:val="00EC0D9B"/>
    <w:rsid w:val="00ED18DC"/>
    <w:rsid w:val="00ED6201"/>
    <w:rsid w:val="00ED7A2A"/>
    <w:rsid w:val="00EF1D7F"/>
    <w:rsid w:val="00EF628E"/>
    <w:rsid w:val="00F0137E"/>
    <w:rsid w:val="00F02FFC"/>
    <w:rsid w:val="00F10C1F"/>
    <w:rsid w:val="00F155E1"/>
    <w:rsid w:val="00F21786"/>
    <w:rsid w:val="00F3742B"/>
    <w:rsid w:val="00F37DA9"/>
    <w:rsid w:val="00F41FDB"/>
    <w:rsid w:val="00F43B13"/>
    <w:rsid w:val="00F4758B"/>
    <w:rsid w:val="00F507EC"/>
    <w:rsid w:val="00F510EB"/>
    <w:rsid w:val="00F51A01"/>
    <w:rsid w:val="00F56D63"/>
    <w:rsid w:val="00F57C04"/>
    <w:rsid w:val="00F609A9"/>
    <w:rsid w:val="00F73B4D"/>
    <w:rsid w:val="00F80C99"/>
    <w:rsid w:val="00F867EC"/>
    <w:rsid w:val="00F87E60"/>
    <w:rsid w:val="00F91B2B"/>
    <w:rsid w:val="00F97D22"/>
    <w:rsid w:val="00F97E75"/>
    <w:rsid w:val="00FA4DF1"/>
    <w:rsid w:val="00FA5739"/>
    <w:rsid w:val="00FB558F"/>
    <w:rsid w:val="00FC03CD"/>
    <w:rsid w:val="00FC0646"/>
    <w:rsid w:val="00FC6288"/>
    <w:rsid w:val="00FC68B7"/>
    <w:rsid w:val="00FD68FF"/>
    <w:rsid w:val="00FE0337"/>
    <w:rsid w:val="00FE6985"/>
    <w:rsid w:val="00FF1231"/>
    <w:rsid w:val="00FF25DC"/>
    <w:rsid w:val="00FF26DA"/>
    <w:rsid w:val="00FF580D"/>
    <w:rsid w:val="00FF59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6258CA3"/>
  <w15:docId w15:val="{FE2BDD5C-12B9-4E7A-AA16-6142B82F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491B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1B8D"/>
    <w:rPr>
      <w:rFonts w:ascii="Tahoma" w:hAnsi="Tahoma" w:cs="Tahoma"/>
      <w:sz w:val="16"/>
      <w:szCs w:val="16"/>
      <w:lang w:eastAsia="en-US"/>
    </w:rPr>
  </w:style>
  <w:style w:type="character" w:customStyle="1" w:styleId="SingleTxtGChar">
    <w:name w:val="_ Single Txt_G Char"/>
    <w:link w:val="SingleTxtG"/>
    <w:rsid w:val="00491B8D"/>
    <w:rPr>
      <w:lang w:eastAsia="en-US"/>
    </w:rPr>
  </w:style>
  <w:style w:type="character" w:styleId="CommentReference">
    <w:name w:val="annotation reference"/>
    <w:basedOn w:val="DefaultParagraphFont"/>
    <w:rsid w:val="002525DD"/>
    <w:rPr>
      <w:sz w:val="16"/>
      <w:szCs w:val="16"/>
    </w:rPr>
  </w:style>
  <w:style w:type="paragraph" w:styleId="CommentText">
    <w:name w:val="annotation text"/>
    <w:basedOn w:val="Normal"/>
    <w:link w:val="CommentTextChar"/>
    <w:rsid w:val="002525DD"/>
    <w:pPr>
      <w:spacing w:line="240" w:lineRule="auto"/>
    </w:pPr>
  </w:style>
  <w:style w:type="character" w:customStyle="1" w:styleId="CommentTextChar">
    <w:name w:val="Comment Text Char"/>
    <w:basedOn w:val="DefaultParagraphFont"/>
    <w:link w:val="CommentText"/>
    <w:rsid w:val="002525DD"/>
    <w:rPr>
      <w:lang w:eastAsia="en-US"/>
    </w:rPr>
  </w:style>
  <w:style w:type="paragraph" w:styleId="CommentSubject">
    <w:name w:val="annotation subject"/>
    <w:basedOn w:val="CommentText"/>
    <w:next w:val="CommentText"/>
    <w:link w:val="CommentSubjectChar"/>
    <w:rsid w:val="002525DD"/>
    <w:rPr>
      <w:b/>
      <w:bCs/>
    </w:rPr>
  </w:style>
  <w:style w:type="character" w:customStyle="1" w:styleId="CommentSubjectChar">
    <w:name w:val="Comment Subject Char"/>
    <w:basedOn w:val="CommentTextChar"/>
    <w:link w:val="CommentSubject"/>
    <w:rsid w:val="002525DD"/>
    <w:rPr>
      <w:b/>
      <w:bCs/>
      <w:lang w:eastAsia="en-US"/>
    </w:rPr>
  </w:style>
  <w:style w:type="paragraph" w:styleId="Revision">
    <w:name w:val="Revision"/>
    <w:hidden/>
    <w:uiPriority w:val="99"/>
    <w:semiHidden/>
    <w:rsid w:val="00B54B65"/>
    <w:rPr>
      <w:lang w:eastAsia="en-US"/>
    </w:rPr>
  </w:style>
  <w:style w:type="paragraph" w:styleId="ListParagraph">
    <w:name w:val="List Paragraph"/>
    <w:basedOn w:val="Normal"/>
    <w:uiPriority w:val="34"/>
    <w:qFormat/>
    <w:rsid w:val="00A04BAE"/>
    <w:pPr>
      <w:ind w:left="720"/>
      <w:contextualSpacing/>
    </w:pPr>
  </w:style>
  <w:style w:type="character" w:customStyle="1" w:styleId="UnresolvedMention1">
    <w:name w:val="Unresolved Mention1"/>
    <w:basedOn w:val="DefaultParagraphFont"/>
    <w:uiPriority w:val="99"/>
    <w:semiHidden/>
    <w:unhideWhenUsed/>
    <w:rsid w:val="00355546"/>
    <w:rPr>
      <w:color w:val="808080"/>
      <w:shd w:val="clear" w:color="auto" w:fill="E6E6E6"/>
    </w:rPr>
  </w:style>
  <w:style w:type="character" w:customStyle="1" w:styleId="UnresolvedMention">
    <w:name w:val="Unresolved Mention"/>
    <w:basedOn w:val="DefaultParagraphFont"/>
    <w:uiPriority w:val="99"/>
    <w:semiHidden/>
    <w:unhideWhenUsed/>
    <w:rsid w:val="006F5B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https://uncdb.unece.org/app/ext/meeting-registration?id=3yPCR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634F-D19B-430E-B06F-5C574F96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4</Pages>
  <Words>1287</Words>
  <Characters>7120</Characters>
  <Application>Microsoft Office Word</Application>
  <DocSecurity>0</DocSecurity>
  <Lines>148</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ECE/MP.WH/C.1/2018/3</vt:lpstr>
      <vt:lpstr>United Nations</vt:lpstr>
    </vt:vector>
  </TitlesOfParts>
  <Company>CSD</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ECE/MP.WH/C.1/2018/3</dc:title>
  <dc:subject>1814045</dc:subject>
  <dc:creator>lidome</dc:creator>
  <cp:keywords/>
  <dc:description>Symbol 1: ECE/MP.WH/C.1/2018/1_x000d_
_x000d_
Symbol 2 : EUPCR/1611921/2.1/2018/CC/03</dc:description>
  <cp:lastModifiedBy>Generic Desk Anglais</cp:lastModifiedBy>
  <cp:revision>2</cp:revision>
  <cp:lastPrinted>2018-08-27T12:44:00Z</cp:lastPrinted>
  <dcterms:created xsi:type="dcterms:W3CDTF">2018-08-27T14:05:00Z</dcterms:created>
  <dcterms:modified xsi:type="dcterms:W3CDTF">2018-08-27T14:05:00Z</dcterms:modified>
</cp:coreProperties>
</file>