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D9" w:rsidRDefault="00231B8F">
      <w:pPr>
        <w:jc w:val="both"/>
        <w:outlineLvl w:val="0"/>
        <w:rPr>
          <w:b/>
          <w:sz w:val="22"/>
          <w:lang w:val="en-GB" w:eastAsia="zh-CN"/>
        </w:rPr>
      </w:pPr>
      <w:r>
        <w:rPr>
          <w:rStyle w:val="CommentReference"/>
        </w:rPr>
        <w:commentReference w:id="0"/>
      </w:r>
      <w:bookmarkStart w:id="1" w:name="_GoBack"/>
      <w:bookmarkEnd w:id="1"/>
    </w:p>
    <w:p w:rsidR="00231B8F" w:rsidRPr="00231B8F" w:rsidRDefault="00231B8F" w:rsidP="00231B8F">
      <w:pPr>
        <w:spacing w:line="20" w:lineRule="exact"/>
        <w:jc w:val="both"/>
        <w:outlineLvl w:val="0"/>
        <w:rPr>
          <w:b/>
          <w:sz w:val="2"/>
          <w:lang w:val="en-GB" w:eastAsia="zh-CN"/>
        </w:rPr>
        <w:sectPr w:rsidR="00231B8F" w:rsidRPr="00231B8F">
          <w:footerReference w:type="even" r:id="rId8"/>
          <w:footerReference w:type="default" r:id="rId9"/>
          <w:headerReference w:type="first" r:id="rId10"/>
          <w:footerReference w:type="first" r:id="rId11"/>
          <w:pgSz w:w="12240" w:h="15840" w:code="1"/>
          <w:pgMar w:top="1584" w:right="1195" w:bottom="1440" w:left="1195" w:header="576" w:footer="1008" w:gutter="0"/>
          <w:cols w:space="720"/>
          <w:titlePg/>
        </w:sectPr>
      </w:pPr>
    </w:p>
    <w:p w:rsidR="00981DD9" w:rsidRPr="0065516E" w:rsidRDefault="00981DD9">
      <w:pPr>
        <w:pStyle w:val="Heading1"/>
        <w:spacing w:after="240"/>
        <w:jc w:val="center"/>
        <w:rPr>
          <w:sz w:val="28"/>
          <w:lang w:val="en-GB"/>
        </w:rPr>
      </w:pPr>
      <w:r w:rsidRPr="0065516E">
        <w:rPr>
          <w:sz w:val="28"/>
          <w:lang w:val="en-GB"/>
        </w:rPr>
        <w:lastRenderedPageBreak/>
        <w:t>Resolution adopted by the General Assembly</w:t>
      </w:r>
      <w:r w:rsidR="00730833" w:rsidRPr="0065516E">
        <w:rPr>
          <w:sz w:val="28"/>
          <w:lang w:val="en-GB"/>
        </w:rPr>
        <w:t xml:space="preserve"> on </w:t>
      </w:r>
      <w:r w:rsidR="0065516E" w:rsidRPr="0065516E">
        <w:rPr>
          <w:sz w:val="28"/>
          <w:lang w:val="en-GB"/>
        </w:rPr>
        <w:t>6 December</w:t>
      </w:r>
      <w:r w:rsidR="00E7224E" w:rsidRPr="0065516E">
        <w:rPr>
          <w:sz w:val="28"/>
          <w:lang w:val="en-GB"/>
        </w:rPr>
        <w:t xml:space="preserve"> </w:t>
      </w:r>
      <w:r w:rsidR="00730833" w:rsidRPr="0065516E">
        <w:rPr>
          <w:sz w:val="28"/>
          <w:lang w:val="en-GB"/>
        </w:rPr>
        <w:t>201</w:t>
      </w:r>
      <w:r w:rsidR="002A0FA8" w:rsidRPr="0065516E">
        <w:rPr>
          <w:sz w:val="28"/>
          <w:lang w:val="en-GB"/>
        </w:rPr>
        <w:t>6</w:t>
      </w:r>
    </w:p>
    <w:p w:rsidR="00981DD9" w:rsidRPr="00231B8F" w:rsidRDefault="00981DD9" w:rsidP="00EB49B0">
      <w:pPr>
        <w:spacing w:after="360"/>
        <w:jc w:val="center"/>
        <w:outlineLvl w:val="0"/>
        <w:rPr>
          <w:rStyle w:val="Hyperlink"/>
          <w:b/>
          <w:lang w:val="en-GB"/>
        </w:rPr>
      </w:pPr>
      <w:r w:rsidRPr="0065516E">
        <w:rPr>
          <w:lang w:val="en-GB"/>
        </w:rPr>
        <w:t>[</w:t>
      </w:r>
      <w:r w:rsidR="00EB49B0" w:rsidRPr="0065516E">
        <w:rPr>
          <w:i/>
          <w:lang w:val="en-GB"/>
        </w:rPr>
        <w:t>on the report of the Special Political and Decolonization Committee</w:t>
      </w:r>
      <w:r w:rsidR="00EB49B0" w:rsidRPr="0065516E">
        <w:rPr>
          <w:i/>
          <w:lang w:val="en-GB"/>
        </w:rPr>
        <w:br/>
        <w:t xml:space="preserve">(Fourth Committee) </w:t>
      </w:r>
      <w:r w:rsidRPr="0065516E">
        <w:rPr>
          <w:i/>
          <w:lang w:val="en-GB"/>
        </w:rPr>
        <w:t>(</w:t>
      </w:r>
      <w:hyperlink r:id="rId12" w:history="1">
        <w:r w:rsidRPr="00231B8F">
          <w:rPr>
            <w:rStyle w:val="Hyperlink"/>
            <w:i/>
            <w:lang w:val="en-GB"/>
          </w:rPr>
          <w:t>A/</w:t>
        </w:r>
        <w:r w:rsidR="00EB49B0" w:rsidRPr="00231B8F">
          <w:rPr>
            <w:rStyle w:val="Hyperlink"/>
            <w:i/>
            <w:lang w:val="en-GB"/>
          </w:rPr>
          <w:t>71/501</w:t>
        </w:r>
      </w:hyperlink>
      <w:r w:rsidRPr="0065516E">
        <w:rPr>
          <w:i/>
          <w:lang w:val="en-GB"/>
        </w:rPr>
        <w:t>)</w:t>
      </w:r>
      <w:r w:rsidRPr="0065516E">
        <w:rPr>
          <w:lang w:val="en-GB"/>
        </w:rPr>
        <w:t>]</w:t>
      </w:r>
      <w:r w:rsidR="002650CD" w:rsidRPr="002650CD">
        <w:rPr>
          <w:lang w:val="en-GB"/>
        </w:rPr>
        <w:t xml:space="preserve"> </w:t>
      </w:r>
      <w:r w:rsidR="00231B8F" w:rsidRPr="00231B8F">
        <w:rPr>
          <w:rFonts w:eastAsia="Calibri"/>
          <w:b/>
          <w:spacing w:val="4"/>
          <w:w w:val="103"/>
          <w:kern w:val="14"/>
          <w:sz w:val="24"/>
          <w:lang w:val="en-GB"/>
        </w:rPr>
        <w:fldChar w:fldCharType="begin"/>
      </w:r>
      <w:r w:rsidR="00231B8F" w:rsidRPr="00231B8F">
        <w:rPr>
          <w:rFonts w:eastAsia="Calibri"/>
          <w:b/>
          <w:spacing w:val="4"/>
          <w:w w:val="103"/>
          <w:kern w:val="14"/>
          <w:sz w:val="24"/>
          <w:lang w:val="en-GB"/>
        </w:rPr>
        <w:instrText xml:space="preserve"> HYPERLINK "http://undocs.org/A/RES/</w:instrText>
      </w:r>
      <w:r w:rsidR="00231B8F" w:rsidRPr="00231B8F">
        <w:rPr>
          <w:rFonts w:eastAsia="Calibri"/>
          <w:b/>
          <w:spacing w:val="4"/>
          <w:w w:val="103"/>
          <w:kern w:val="14"/>
          <w:sz w:val="24"/>
          <w:lang w:val="en-GB"/>
        </w:rPr>
        <w:cr/>
        <w:instrText xml:space="preserve">71/105" </w:instrText>
      </w:r>
      <w:r w:rsidR="00231B8F" w:rsidRPr="00231B8F">
        <w:rPr>
          <w:rFonts w:eastAsia="Calibri"/>
          <w:b/>
          <w:spacing w:val="4"/>
          <w:w w:val="103"/>
          <w:kern w:val="14"/>
          <w:sz w:val="24"/>
          <w:lang w:val="en-GB"/>
        </w:rPr>
        <w:fldChar w:fldCharType="separate"/>
      </w:r>
    </w:p>
    <w:p w:rsidR="0065516E" w:rsidRPr="0065516E" w:rsidRDefault="0065516E" w:rsidP="002650CD">
      <w:pPr>
        <w:pStyle w:val="H1"/>
        <w:spacing w:after="240"/>
        <w:ind w:left="2232" w:hanging="965"/>
      </w:pPr>
      <w:r w:rsidRPr="00231B8F">
        <w:rPr>
          <w:rStyle w:val="Hyperlink"/>
        </w:rPr>
        <w:t>71/105</w:t>
      </w:r>
      <w:r w:rsidR="00231B8F" w:rsidRPr="00231B8F">
        <w:fldChar w:fldCharType="end"/>
      </w:r>
      <w:r w:rsidRPr="00231B8F">
        <w:t>.</w:t>
      </w:r>
      <w:r>
        <w:tab/>
      </w:r>
      <w:r w:rsidRPr="0065516E">
        <w:t>Offers by Member States of study and training facilities for inhabitants of Non-Self-Governing Territories</w:t>
      </w:r>
    </w:p>
    <w:p w:rsidR="0065516E" w:rsidRPr="0065516E" w:rsidRDefault="0065516E" w:rsidP="0065516E">
      <w:pPr>
        <w:pStyle w:val="SingleTxt"/>
        <w:rPr>
          <w:lang w:val="en-GB"/>
        </w:rPr>
      </w:pPr>
      <w:r w:rsidRPr="0065516E">
        <w:rPr>
          <w:lang w:val="en-GB"/>
        </w:rPr>
        <w:tab/>
      </w:r>
      <w:r w:rsidRPr="0065516E">
        <w:rPr>
          <w:i/>
          <w:lang w:val="en-GB"/>
        </w:rPr>
        <w:t>The General Assembly</w:t>
      </w:r>
      <w:r w:rsidRPr="0065516E">
        <w:rPr>
          <w:lang w:val="en-GB"/>
        </w:rPr>
        <w:t>,</w:t>
      </w:r>
    </w:p>
    <w:p w:rsidR="0065516E" w:rsidRPr="0065516E" w:rsidRDefault="0065516E" w:rsidP="0065516E">
      <w:pPr>
        <w:pStyle w:val="SingleTxt"/>
        <w:rPr>
          <w:lang w:val="en-GB"/>
        </w:rPr>
      </w:pPr>
      <w:r w:rsidRPr="0065516E">
        <w:rPr>
          <w:lang w:val="en-GB"/>
        </w:rPr>
        <w:tab/>
      </w:r>
      <w:r w:rsidRPr="0065516E">
        <w:rPr>
          <w:i/>
          <w:lang w:val="en-GB"/>
        </w:rPr>
        <w:t>Recalling</w:t>
      </w:r>
      <w:r w:rsidRPr="0065516E">
        <w:rPr>
          <w:lang w:val="en-GB"/>
        </w:rPr>
        <w:t xml:space="preserve"> its resolution </w:t>
      </w:r>
      <w:hyperlink r:id="rId13" w:history="1">
        <w:r w:rsidRPr="00231B8F">
          <w:rPr>
            <w:rStyle w:val="Hyperlink"/>
            <w:lang w:val="en-GB"/>
          </w:rPr>
          <w:t>70/97</w:t>
        </w:r>
      </w:hyperlink>
      <w:r w:rsidRPr="0065516E">
        <w:rPr>
          <w:lang w:val="en-GB"/>
        </w:rPr>
        <w:t xml:space="preserve"> of 9 December 2015,</w:t>
      </w:r>
    </w:p>
    <w:p w:rsidR="0065516E" w:rsidRPr="0065516E" w:rsidRDefault="0065516E" w:rsidP="0065516E">
      <w:pPr>
        <w:pStyle w:val="SingleTxt"/>
        <w:rPr>
          <w:lang w:val="en-GB"/>
        </w:rPr>
      </w:pPr>
      <w:r w:rsidRPr="0065516E">
        <w:rPr>
          <w:lang w:val="en-GB"/>
        </w:rPr>
        <w:tab/>
      </w:r>
      <w:r w:rsidRPr="0065516E">
        <w:rPr>
          <w:i/>
          <w:lang w:val="en-GB"/>
        </w:rPr>
        <w:t>Having examined</w:t>
      </w:r>
      <w:r w:rsidRPr="0065516E">
        <w:rPr>
          <w:lang w:val="en-GB"/>
        </w:rPr>
        <w:t xml:space="preserve"> the report of the Secretary-General,</w:t>
      </w:r>
      <w:bookmarkStart w:id="2" w:name="_Ref468985859"/>
      <w:r w:rsidRPr="0065516E">
        <w:rPr>
          <w:rStyle w:val="FootnoteReference"/>
          <w:lang w:val="en-GB"/>
        </w:rPr>
        <w:footnoteReference w:id="1"/>
      </w:r>
      <w:bookmarkEnd w:id="2"/>
      <w:r w:rsidRPr="0065516E">
        <w:rPr>
          <w:lang w:val="en-GB"/>
        </w:rPr>
        <w:t xml:space="preserve"> prepared pursuant to its resolution 845 (IX) of 22 November 1954,</w:t>
      </w:r>
    </w:p>
    <w:p w:rsidR="0065516E" w:rsidRPr="0065516E" w:rsidRDefault="0065516E" w:rsidP="0065516E">
      <w:pPr>
        <w:pStyle w:val="SingleTxt"/>
        <w:rPr>
          <w:lang w:val="en-GB"/>
        </w:rPr>
      </w:pPr>
      <w:r w:rsidRPr="0065516E">
        <w:rPr>
          <w:lang w:val="en-GB"/>
        </w:rPr>
        <w:tab/>
      </w:r>
      <w:r w:rsidRPr="0065516E">
        <w:rPr>
          <w:i/>
          <w:lang w:val="en-GB"/>
        </w:rPr>
        <w:t>Conscious</w:t>
      </w:r>
      <w:r w:rsidRPr="0065516E">
        <w:rPr>
          <w:lang w:val="en-GB"/>
        </w:rPr>
        <w:t xml:space="preserve"> of the importance of promoting the educational advancement of the inhabitants of Non-Self-Governing Territories,</w:t>
      </w:r>
    </w:p>
    <w:p w:rsidR="0065516E" w:rsidRPr="0065516E" w:rsidRDefault="0065516E" w:rsidP="0065516E">
      <w:pPr>
        <w:pStyle w:val="SingleTxt"/>
        <w:rPr>
          <w:lang w:val="en-GB"/>
        </w:rPr>
      </w:pPr>
      <w:r w:rsidRPr="0065516E">
        <w:rPr>
          <w:lang w:val="en-GB"/>
        </w:rPr>
        <w:tab/>
      </w:r>
      <w:r w:rsidRPr="0065516E">
        <w:rPr>
          <w:i/>
          <w:lang w:val="en-GB"/>
        </w:rPr>
        <w:t>Strongly convinced</w:t>
      </w:r>
      <w:r w:rsidRPr="0065516E">
        <w:rPr>
          <w:lang w:val="en-GB"/>
        </w:rPr>
        <w:t xml:space="preserve"> that the continuation and expansion of offers of scholarships is essential in order to meet the increasing need of students from Non</w:t>
      </w:r>
      <w:r w:rsidRPr="0065516E">
        <w:rPr>
          <w:lang w:val="en-GB"/>
        </w:rPr>
        <w:noBreakHyphen/>
        <w:t>Self-Governing Territories for educational and training assistance, and considering that students in those Territories should be encouraged to avail themselves of such offers,</w:t>
      </w:r>
    </w:p>
    <w:p w:rsidR="0065516E" w:rsidRPr="0065516E" w:rsidRDefault="0065516E" w:rsidP="0065516E">
      <w:pPr>
        <w:pStyle w:val="SingleTxt"/>
        <w:rPr>
          <w:lang w:val="en-GB"/>
        </w:rPr>
      </w:pPr>
      <w:r w:rsidRPr="0065516E">
        <w:rPr>
          <w:lang w:val="en-GB"/>
        </w:rPr>
        <w:tab/>
        <w:t>1.</w:t>
      </w:r>
      <w:r w:rsidRPr="0065516E">
        <w:rPr>
          <w:lang w:val="en-GB"/>
        </w:rPr>
        <w:tab/>
      </w:r>
      <w:r w:rsidRPr="0065516E">
        <w:rPr>
          <w:i/>
          <w:lang w:val="en-GB"/>
        </w:rPr>
        <w:t>Takes note</w:t>
      </w:r>
      <w:r w:rsidRPr="0065516E">
        <w:rPr>
          <w:lang w:val="en-GB"/>
        </w:rPr>
        <w:t xml:space="preserve"> of the report of the Secretary-General;</w:t>
      </w:r>
      <w:r>
        <w:rPr>
          <w:vertAlign w:val="superscript"/>
          <w:lang w:val="en-GB"/>
        </w:rPr>
        <w:fldChar w:fldCharType="begin"/>
      </w:r>
      <w:r>
        <w:rPr>
          <w:vertAlign w:val="superscript"/>
          <w:lang w:val="en-GB"/>
        </w:rPr>
        <w:instrText xml:space="preserve"> NOTEREF _Ref468985859 \h </w:instrText>
      </w:r>
      <w:r>
        <w:rPr>
          <w:vertAlign w:val="superscript"/>
          <w:lang w:val="en-GB"/>
        </w:rPr>
      </w:r>
      <w:r>
        <w:rPr>
          <w:vertAlign w:val="superscript"/>
          <w:lang w:val="en-GB"/>
        </w:rPr>
        <w:fldChar w:fldCharType="separate"/>
      </w:r>
      <w:r w:rsidR="00D85F50">
        <w:rPr>
          <w:vertAlign w:val="superscript"/>
          <w:lang w:val="en-GB"/>
        </w:rPr>
        <w:t>1</w:t>
      </w:r>
      <w:r>
        <w:rPr>
          <w:vertAlign w:val="superscript"/>
          <w:lang w:val="en-GB"/>
        </w:rPr>
        <w:fldChar w:fldCharType="end"/>
      </w:r>
    </w:p>
    <w:p w:rsidR="0065516E" w:rsidRPr="0065516E" w:rsidRDefault="0065516E" w:rsidP="0065516E">
      <w:pPr>
        <w:pStyle w:val="SingleTxt"/>
        <w:rPr>
          <w:lang w:val="en-GB"/>
        </w:rPr>
      </w:pPr>
      <w:r w:rsidRPr="0065516E">
        <w:rPr>
          <w:lang w:val="en-GB"/>
        </w:rPr>
        <w:tab/>
        <w:t>2.</w:t>
      </w:r>
      <w:r w:rsidRPr="0065516E">
        <w:rPr>
          <w:lang w:val="en-GB"/>
        </w:rPr>
        <w:tab/>
      </w:r>
      <w:r w:rsidRPr="0065516E">
        <w:rPr>
          <w:i/>
          <w:lang w:val="en-GB"/>
        </w:rPr>
        <w:t>Expresses its appreciation</w:t>
      </w:r>
      <w:r w:rsidRPr="0065516E">
        <w:rPr>
          <w:lang w:val="en-GB"/>
        </w:rPr>
        <w:t xml:space="preserve"> to those Member States that have made scholarships available to the inhabitants of Non-Self-Governing Territories;</w:t>
      </w:r>
    </w:p>
    <w:p w:rsidR="0065516E" w:rsidRPr="0065516E" w:rsidRDefault="0065516E" w:rsidP="0065516E">
      <w:pPr>
        <w:pStyle w:val="SingleTxt"/>
        <w:rPr>
          <w:lang w:val="en-GB"/>
        </w:rPr>
      </w:pPr>
      <w:r w:rsidRPr="0065516E">
        <w:rPr>
          <w:lang w:val="en-GB"/>
        </w:rPr>
        <w:tab/>
        <w:t>3.</w:t>
      </w:r>
      <w:r w:rsidRPr="0065516E">
        <w:rPr>
          <w:lang w:val="en-GB"/>
        </w:rPr>
        <w:tab/>
      </w:r>
      <w:r w:rsidRPr="0065516E">
        <w:rPr>
          <w:i/>
          <w:lang w:val="en-GB"/>
        </w:rPr>
        <w:t>Invites</w:t>
      </w:r>
      <w:r w:rsidRPr="0065516E">
        <w:rPr>
          <w:lang w:val="en-GB"/>
        </w:rPr>
        <w:t xml:space="preserve"> all States to make or continue to make generous offers of study and training facilities to the inhabitants of those Territories that have not yet attained self-government or independence and, wherever possible, to provide travel funds to prospective students;</w:t>
      </w:r>
    </w:p>
    <w:p w:rsidR="0065516E" w:rsidRPr="0065516E" w:rsidRDefault="0065516E" w:rsidP="0065516E">
      <w:pPr>
        <w:pStyle w:val="SingleTxt"/>
        <w:rPr>
          <w:lang w:val="en-GB"/>
        </w:rPr>
      </w:pPr>
      <w:r w:rsidRPr="0065516E">
        <w:rPr>
          <w:lang w:val="en-GB"/>
        </w:rPr>
        <w:tab/>
        <w:t>4.</w:t>
      </w:r>
      <w:r w:rsidRPr="0065516E">
        <w:rPr>
          <w:lang w:val="en-GB"/>
        </w:rPr>
        <w:tab/>
      </w:r>
      <w:r w:rsidRPr="0065516E">
        <w:rPr>
          <w:i/>
          <w:lang w:val="en-GB"/>
        </w:rPr>
        <w:t>Urges</w:t>
      </w:r>
      <w:r w:rsidRPr="0065516E">
        <w:rPr>
          <w:lang w:val="en-GB"/>
        </w:rPr>
        <w:t xml:space="preserve"> the administering Powers to take effective measures to ensure the widespread and continuous dissemination in the Territories under their administration of information relating to offers of study and training facilities made by States and to provide all the facilities necessary to enable students to avail themselves of such offers;</w:t>
      </w:r>
    </w:p>
    <w:p w:rsidR="0065516E" w:rsidRPr="0065516E" w:rsidRDefault="0065516E" w:rsidP="0065516E">
      <w:pPr>
        <w:pStyle w:val="SingleTxt"/>
        <w:rPr>
          <w:lang w:val="en-GB"/>
        </w:rPr>
      </w:pPr>
      <w:r w:rsidRPr="0065516E">
        <w:rPr>
          <w:lang w:val="en-GB"/>
        </w:rPr>
        <w:tab/>
        <w:t>5.</w:t>
      </w:r>
      <w:r w:rsidRPr="0065516E">
        <w:rPr>
          <w:lang w:val="en-GB"/>
        </w:rPr>
        <w:tab/>
      </w:r>
      <w:r w:rsidRPr="0065516E">
        <w:rPr>
          <w:i/>
          <w:lang w:val="en-GB"/>
        </w:rPr>
        <w:t>Requests</w:t>
      </w:r>
      <w:r w:rsidRPr="0065516E">
        <w:rPr>
          <w:lang w:val="en-GB"/>
        </w:rPr>
        <w:t xml:space="preserve"> the Secretary-General to report to the General Assembly at its seventy-second session on the implementation of the present resolution;</w:t>
      </w:r>
    </w:p>
    <w:p w:rsidR="0065516E" w:rsidRPr="0065516E" w:rsidRDefault="0065516E" w:rsidP="0065516E">
      <w:pPr>
        <w:pStyle w:val="SingleTxt"/>
        <w:rPr>
          <w:lang w:val="en-GB"/>
        </w:rPr>
      </w:pPr>
      <w:r w:rsidRPr="0065516E">
        <w:rPr>
          <w:lang w:val="en-GB"/>
        </w:rPr>
        <w:lastRenderedPageBreak/>
        <w:tab/>
        <w:t>6.</w:t>
      </w:r>
      <w:r w:rsidRPr="0065516E">
        <w:rPr>
          <w:lang w:val="en-GB"/>
        </w:rPr>
        <w:tab/>
      </w:r>
      <w:r w:rsidRPr="0065516E">
        <w:rPr>
          <w:i/>
          <w:lang w:val="en-GB"/>
        </w:rPr>
        <w:t>Draws the attention</w:t>
      </w:r>
      <w:r w:rsidRPr="0065516E">
        <w:rPr>
          <w:lang w:val="en-GB"/>
        </w:rPr>
        <w:t xml:space="preserve"> of the Special Committee on the Situation with regard to the Implementation of the Declaration on the Granting of Independence to Colonial Countries and Peoples to the present resolution.</w:t>
      </w:r>
    </w:p>
    <w:p w:rsidR="00981DD9" w:rsidRPr="0065516E" w:rsidRDefault="00981DD9" w:rsidP="00AD69D6">
      <w:pPr>
        <w:widowControl w:val="0"/>
        <w:spacing w:line="120" w:lineRule="exact"/>
        <w:ind w:left="1267"/>
        <w:jc w:val="both"/>
        <w:rPr>
          <w:sz w:val="8"/>
          <w:lang w:val="en-GB"/>
        </w:rPr>
      </w:pPr>
    </w:p>
    <w:p w:rsidR="00981DD9" w:rsidRPr="0065516E" w:rsidRDefault="00172A19" w:rsidP="007D7D80">
      <w:pPr>
        <w:pStyle w:val="SingleTxt"/>
        <w:spacing w:line="240" w:lineRule="auto"/>
        <w:jc w:val="right"/>
        <w:rPr>
          <w:i/>
          <w:iCs/>
          <w:lang w:val="en-GB"/>
        </w:rPr>
      </w:pPr>
      <w:r w:rsidRPr="0065516E">
        <w:rPr>
          <w:i/>
          <w:iCs/>
          <w:lang w:val="en-GB"/>
        </w:rPr>
        <w:t>5</w:t>
      </w:r>
      <w:r w:rsidR="0065516E" w:rsidRPr="0065516E">
        <w:rPr>
          <w:i/>
          <w:iCs/>
          <w:lang w:val="en-GB"/>
        </w:rPr>
        <w:t>3rd </w:t>
      </w:r>
      <w:r w:rsidR="00981DD9" w:rsidRPr="0065516E">
        <w:rPr>
          <w:i/>
          <w:iCs/>
          <w:lang w:val="en-GB"/>
        </w:rPr>
        <w:t>plenary meeting</w:t>
      </w:r>
      <w:r w:rsidR="00981DD9" w:rsidRPr="0065516E">
        <w:rPr>
          <w:i/>
          <w:iCs/>
          <w:lang w:val="en-GB"/>
        </w:rPr>
        <w:br/>
      </w:r>
      <w:r w:rsidR="0065516E" w:rsidRPr="0065516E">
        <w:rPr>
          <w:i/>
          <w:iCs/>
          <w:lang w:val="en-GB"/>
        </w:rPr>
        <w:t>6 December</w:t>
      </w:r>
      <w:r w:rsidR="00E133FF" w:rsidRPr="0065516E">
        <w:rPr>
          <w:i/>
          <w:iCs/>
          <w:lang w:val="en-GB"/>
        </w:rPr>
        <w:t xml:space="preserve"> </w:t>
      </w:r>
      <w:r w:rsidR="00981DD9" w:rsidRPr="0065516E">
        <w:rPr>
          <w:i/>
          <w:iCs/>
          <w:lang w:val="en-GB"/>
        </w:rPr>
        <w:t>20</w:t>
      </w:r>
      <w:r w:rsidR="009D434D" w:rsidRPr="0065516E">
        <w:rPr>
          <w:i/>
          <w:iCs/>
          <w:lang w:val="en-GB"/>
        </w:rPr>
        <w:t>1</w:t>
      </w:r>
      <w:r w:rsidR="002A0FA8" w:rsidRPr="0065516E">
        <w:rPr>
          <w:i/>
          <w:iCs/>
          <w:lang w:val="en-GB"/>
        </w:rPr>
        <w:t>6</w:t>
      </w:r>
    </w:p>
    <w:p w:rsidR="00981DD9" w:rsidRPr="0065516E" w:rsidRDefault="00662CE3" w:rsidP="00EB49B0">
      <w:pPr>
        <w:pStyle w:val="SingleTxt"/>
        <w:rPr>
          <w:iCs/>
          <w:lang w:val="en-GB"/>
        </w:rPr>
      </w:pPr>
      <w:r>
        <w:rPr>
          <w:noProof/>
          <w:w w:val="100"/>
          <w:lang w:val="en-US"/>
        </w:rPr>
        <mc:AlternateContent>
          <mc:Choice Requires="wps">
            <w:drawing>
              <wp:anchor distT="0" distB="0" distL="114300" distR="114300" simplePos="0" relativeHeight="25165772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sectPr w:rsidR="00981DD9" w:rsidRPr="0065516E">
      <w:headerReference w:type="even" r:id="rId14"/>
      <w:headerReference w:type="default" r:id="rId15"/>
      <w:footerReference w:type="even" r:id="rId16"/>
      <w:footerReference w:type="default" r:id="rId17"/>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03T12:56:00Z" w:initials="Start">
    <w:p w:rsidR="00231B8F" w:rsidRDefault="00231B8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NO&gt;&gt;N1642887E&lt;&lt;ODS JOB NO&gt;&gt;</w:t>
      </w:r>
    </w:p>
    <w:p w:rsidR="00231B8F" w:rsidRDefault="00231B8F">
      <w:pPr>
        <w:pStyle w:val="CommentText"/>
      </w:pPr>
      <w:r>
        <w:t>&lt;&lt;ODS DOC SYMBOL1&gt;&gt;A/RES/71/105&lt;&lt;ODS DOC SYMBOL1&gt;&gt;</w:t>
      </w:r>
    </w:p>
    <w:p w:rsidR="00231B8F" w:rsidRDefault="00231B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DC" w:rsidRDefault="00B25BDC">
      <w:r>
        <w:separator/>
      </w:r>
    </w:p>
  </w:endnote>
  <w:endnote w:type="continuationSeparator" w:id="0">
    <w:p w:rsidR="00B25BDC" w:rsidRDefault="00B2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framePr w:w="362" w:h="365" w:hRule="exact" w:wrap="around" w:vAnchor="text" w:hAnchor="page" w:x="1162" w:y="8"/>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sidR="00D85F50">
      <w:rPr>
        <w:rStyle w:val="PageNumber"/>
        <w:b/>
        <w:noProof/>
        <w:sz w:val="18"/>
      </w:rPr>
      <w:t>2</w:t>
    </w:r>
    <w:r>
      <w:rPr>
        <w:rStyle w:val="PageNumber"/>
        <w:b/>
        <w:sz w:val="18"/>
      </w:rPr>
      <w:fldChar w:fldCharType="end"/>
    </w:r>
  </w:p>
  <w:p w:rsidR="00FE0D3A" w:rsidRDefault="00FE0D3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D85F50">
      <w:rPr>
        <w:rStyle w:val="PageNumber"/>
        <w:b/>
        <w:bCs/>
        <w:noProof/>
        <w:sz w:val="18"/>
      </w:rPr>
      <w:t>2</w:t>
    </w:r>
    <w:r>
      <w:rPr>
        <w:rStyle w:val="PageNumbe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05"/>
    </w:tblGrid>
    <w:tr w:rsidR="003D4CBE" w:rsidTr="00EB49B0">
      <w:trPr>
        <w:trHeight w:val="439"/>
      </w:trPr>
      <w:tc>
        <w:tcPr>
          <w:tcW w:w="5033" w:type="dxa"/>
          <w:shd w:val="clear" w:color="auto" w:fill="auto"/>
        </w:tcPr>
        <w:p w:rsidR="003D4CBE" w:rsidRDefault="00EB49B0" w:rsidP="00EB49B0">
          <w:pPr>
            <w:pStyle w:val="Footer"/>
          </w:pPr>
          <w:r>
            <w:t>16-21299 (E)</w:t>
          </w:r>
        </w:p>
        <w:p w:rsidR="003D4CBE" w:rsidRPr="00EB49B0" w:rsidRDefault="00EB49B0" w:rsidP="00EB49B0">
          <w:pPr>
            <w:pStyle w:val="Footer"/>
            <w:rPr>
              <w:rFonts w:ascii="Barcode 3 of 9 by request" w:hAnsi="Barcode 3 of 9 by request"/>
              <w:sz w:val="24"/>
            </w:rPr>
          </w:pPr>
          <w:r>
            <w:rPr>
              <w:rFonts w:ascii="Barcode 3 of 9 by request" w:hAnsi="Barcode 3 of 9 by request"/>
              <w:sz w:val="24"/>
            </w:rPr>
            <w:t>*1621299*</w:t>
          </w:r>
        </w:p>
      </w:tc>
      <w:tc>
        <w:tcPr>
          <w:tcW w:w="3805" w:type="dxa"/>
          <w:shd w:val="clear" w:color="auto" w:fill="auto"/>
        </w:tcPr>
        <w:p w:rsidR="003D4CBE" w:rsidRDefault="003D4CBE" w:rsidP="00EB49B0">
          <w:pPr>
            <w:pStyle w:val="Footer"/>
            <w:spacing w:before="40"/>
            <w:jc w:val="right"/>
          </w:pPr>
          <w:r w:rsidRPr="00820B78">
            <w:rPr>
              <w:b/>
              <w:bCs/>
              <w:spacing w:val="-2"/>
              <w:w w:val="104"/>
              <w:sz w:val="17"/>
              <w:szCs w:val="17"/>
            </w:rPr>
            <w:t>Please recycle</w:t>
          </w:r>
          <w:r w:rsidRPr="00820B78">
            <w:rPr>
              <w:b/>
              <w:bCs/>
              <w:spacing w:val="2"/>
              <w:w w:val="104"/>
              <w:sz w:val="17"/>
              <w:szCs w:val="17"/>
            </w:rPr>
            <w:t xml:space="preserve"> </w:t>
          </w:r>
          <w:r w:rsidR="00662CE3">
            <w:rPr>
              <w:noProof/>
            </w:rPr>
            <w:drawing>
              <wp:inline distT="0" distB="0" distL="0" distR="0">
                <wp:extent cx="234315" cy="228600"/>
                <wp:effectExtent l="0" t="0" r="0" b="0"/>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 cy="228600"/>
                        </a:xfrm>
                        <a:prstGeom prst="rect">
                          <a:avLst/>
                        </a:prstGeom>
                        <a:noFill/>
                        <a:ln>
                          <a:noFill/>
                        </a:ln>
                      </pic:spPr>
                    </pic:pic>
                  </a:graphicData>
                </a:graphic>
              </wp:inline>
            </w:drawing>
          </w:r>
        </w:p>
      </w:tc>
    </w:tr>
  </w:tbl>
  <w:p w:rsidR="003D4CBE" w:rsidRDefault="00662CE3" w:rsidP="003D4CBE">
    <w:pPr>
      <w:pStyle w:val="Footer"/>
      <w:spacing w:before="240"/>
    </w:pPr>
    <w:r>
      <w:rPr>
        <w:noProof/>
      </w:rPr>
      <w:drawing>
        <wp:anchor distT="0" distB="0" distL="114300" distR="114300" simplePos="0" relativeHeight="251657728" behindDoc="0" locked="0" layoutInCell="1" allowOverlap="1">
          <wp:simplePos x="0" y="0"/>
          <wp:positionH relativeFrom="column">
            <wp:posOffset>5572125</wp:posOffset>
          </wp:positionH>
          <wp:positionV relativeFrom="paragraph">
            <wp:posOffset>-382270</wp:posOffset>
          </wp:positionV>
          <wp:extent cx="709930" cy="709930"/>
          <wp:effectExtent l="0" t="0" r="0" b="0"/>
          <wp:wrapNone/>
          <wp:docPr id="3" name="Picture 1" descr="105&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amp;Siz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BC0234">
      <w:rPr>
        <w:rStyle w:val="PageNumber"/>
        <w:b/>
        <w:bCs/>
        <w:noProof/>
        <w:sz w:val="18"/>
      </w:rPr>
      <w:t>2</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BC0234">
      <w:rPr>
        <w:rStyle w:val="PageNumber"/>
        <w:b/>
        <w:bCs/>
        <w:noProof/>
        <w:sz w:val="18"/>
      </w:rPr>
      <w:t>2</w:t>
    </w:r>
    <w:r w:rsidR="00BB225B" w:rsidRPr="00BB225B">
      <w:rPr>
        <w:rStyle w:val="PageNumber"/>
        <w:b/>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D85F50">
      <w:rPr>
        <w:rStyle w:val="PageNumber"/>
        <w:b/>
        <w:bCs/>
        <w:noProof/>
        <w:sz w:val="18"/>
      </w:rPr>
      <w:t>2</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D85F50">
      <w:rPr>
        <w:rStyle w:val="PageNumber"/>
        <w:b/>
        <w:bCs/>
        <w:noProof/>
        <w:sz w:val="18"/>
      </w:rPr>
      <w:t>2</w:t>
    </w:r>
    <w:r w:rsidR="00BB225B" w:rsidRPr="00BB225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DC" w:rsidRPr="0065516E" w:rsidRDefault="00B25BDC" w:rsidP="0065516E">
      <w:pPr>
        <w:pStyle w:val="Footer"/>
        <w:suppressAutoHyphens/>
        <w:spacing w:beforeLines="100" w:before="240" w:afterLines="50" w:after="120"/>
        <w:ind w:left="1267" w:right="1267"/>
        <w:rPr>
          <w:b/>
          <w:kern w:val="14"/>
        </w:rPr>
      </w:pPr>
      <w:r w:rsidRPr="0065516E">
        <w:rPr>
          <w:b/>
          <w:kern w:val="14"/>
        </w:rPr>
        <w:t>_______________</w:t>
      </w:r>
    </w:p>
  </w:footnote>
  <w:footnote w:type="continuationSeparator" w:id="0">
    <w:p w:rsidR="00B25BDC" w:rsidRPr="0065516E" w:rsidRDefault="00B25BDC">
      <w:pPr>
        <w:rPr>
          <w:highlight w:val="yellow"/>
        </w:rPr>
      </w:pPr>
      <w:r w:rsidRPr="0065516E">
        <w:rPr>
          <w:highlight w:val="yellow"/>
        </w:rPr>
        <w:continuationSeparator/>
      </w:r>
    </w:p>
  </w:footnote>
  <w:footnote w:id="1">
    <w:p w:rsidR="0065516E" w:rsidRPr="0065516E" w:rsidRDefault="0065516E" w:rsidP="0065516E">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65516E">
        <w:rPr>
          <w:rStyle w:val="FootnoteReference"/>
          <w:sz w:val="17"/>
          <w:lang w:val="en-GB"/>
        </w:rPr>
        <w:footnoteRef/>
      </w:r>
      <w:r w:rsidRPr="0065516E">
        <w:rPr>
          <w:sz w:val="17"/>
          <w:lang w:val="en-GB"/>
        </w:rPr>
        <w:t> </w:t>
      </w:r>
      <w:hyperlink r:id="rId1" w:history="1">
        <w:r w:rsidRPr="0065516E">
          <w:rPr>
            <w:rStyle w:val="Hyperlink"/>
            <w:sz w:val="17"/>
            <w:lang w:val="en-GB"/>
          </w:rPr>
          <w:t>A/71/70</w:t>
        </w:r>
      </w:hyperlink>
      <w:r w:rsidRPr="0065516E">
        <w:rPr>
          <w:sz w:val="17"/>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FE0D3A">
      <w:trPr>
        <w:cantSplit/>
        <w:trHeight w:val="540"/>
      </w:trPr>
      <w:tc>
        <w:tcPr>
          <w:tcW w:w="1350" w:type="dxa"/>
          <w:tcBorders>
            <w:bottom w:val="single" w:sz="6" w:space="0" w:color="auto"/>
          </w:tcBorders>
        </w:tcPr>
        <w:p w:rsidR="00FE0D3A" w:rsidRDefault="00FE0D3A">
          <w:pPr>
            <w:spacing w:before="240"/>
            <w:rPr>
              <w:sz w:val="22"/>
            </w:rPr>
          </w:pPr>
        </w:p>
      </w:tc>
      <w:tc>
        <w:tcPr>
          <w:tcW w:w="5220" w:type="dxa"/>
          <w:tcBorders>
            <w:bottom w:val="single" w:sz="6" w:space="0" w:color="auto"/>
          </w:tcBorders>
        </w:tcPr>
        <w:p w:rsidR="00FE0D3A" w:rsidRDefault="00FE0D3A">
          <w:pPr>
            <w:pStyle w:val="Heading2"/>
            <w:spacing w:before="240"/>
            <w:rPr>
              <w:sz w:val="28"/>
              <w:lang w:val="en-GB"/>
            </w:rPr>
          </w:pPr>
          <w:r>
            <w:rPr>
              <w:sz w:val="28"/>
              <w:lang w:val="en-GB"/>
            </w:rPr>
            <w:t>United Nations</w:t>
          </w:r>
        </w:p>
      </w:tc>
      <w:tc>
        <w:tcPr>
          <w:tcW w:w="3330" w:type="dxa"/>
          <w:tcBorders>
            <w:bottom w:val="single" w:sz="6" w:space="0" w:color="auto"/>
          </w:tcBorders>
        </w:tcPr>
        <w:p w:rsidR="00FE0D3A" w:rsidRDefault="00FE0D3A" w:rsidP="00EB49B0">
          <w:pPr>
            <w:spacing w:before="120"/>
            <w:jc w:val="right"/>
            <w:rPr>
              <w:lang w:val="en-GB"/>
            </w:rPr>
          </w:pPr>
          <w:r>
            <w:rPr>
              <w:bCs/>
              <w:sz w:val="40"/>
              <w:lang w:val="en-GB"/>
            </w:rPr>
            <w:t>A</w:t>
          </w:r>
          <w:r>
            <w:rPr>
              <w:lang w:val="en-GB"/>
            </w:rPr>
            <w:t>/RES/</w:t>
          </w:r>
          <w:r w:rsidR="00EB49B0">
            <w:rPr>
              <w:lang w:val="en-GB"/>
            </w:rPr>
            <w:t>71/105</w:t>
          </w:r>
        </w:p>
      </w:tc>
    </w:tr>
    <w:tr w:rsidR="00FE0D3A">
      <w:trPr>
        <w:trHeight w:val="1988"/>
      </w:trPr>
      <w:tc>
        <w:tcPr>
          <w:tcW w:w="1350" w:type="dxa"/>
          <w:tcBorders>
            <w:top w:val="single" w:sz="6" w:space="0" w:color="auto"/>
            <w:bottom w:val="single" w:sz="12" w:space="0" w:color="auto"/>
          </w:tcBorders>
          <w:vAlign w:val="center"/>
        </w:tcPr>
        <w:p w:rsidR="00FE0D3A" w:rsidRDefault="00662CE3">
          <w:pPr>
            <w:rPr>
              <w:lang w:val="en-GB"/>
            </w:rPr>
          </w:pPr>
          <w:r>
            <w:rPr>
              <w:noProof/>
            </w:rPr>
            <w:drawing>
              <wp:inline distT="0" distB="0" distL="0" distR="0">
                <wp:extent cx="727075" cy="621030"/>
                <wp:effectExtent l="0" t="0" r="0"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62103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FE0D3A" w:rsidRDefault="00FE0D3A">
          <w:pPr>
            <w:pStyle w:val="Heading3"/>
            <w:rPr>
              <w:b/>
              <w:lang w:val="en-GB"/>
            </w:rPr>
          </w:pPr>
          <w:r>
            <w:rPr>
              <w:b/>
              <w:lang w:val="en-GB"/>
            </w:rPr>
            <w:t>General Assembly</w:t>
          </w:r>
        </w:p>
      </w:tc>
      <w:tc>
        <w:tcPr>
          <w:tcW w:w="3330" w:type="dxa"/>
          <w:tcBorders>
            <w:top w:val="single" w:sz="6" w:space="0" w:color="auto"/>
            <w:bottom w:val="single" w:sz="12" w:space="0" w:color="auto"/>
          </w:tcBorders>
          <w:vAlign w:val="center"/>
        </w:tcPr>
        <w:p w:rsidR="00FE0D3A" w:rsidRDefault="00FE0D3A">
          <w:pPr>
            <w:jc w:val="right"/>
            <w:rPr>
              <w:lang w:val="en-GB"/>
            </w:rPr>
          </w:pPr>
          <w:r>
            <w:rPr>
              <w:lang w:val="en-GB"/>
            </w:rPr>
            <w:t>Distr.: General</w:t>
          </w:r>
        </w:p>
        <w:p w:rsidR="00FE0D3A" w:rsidRDefault="002650CD" w:rsidP="00172A19">
          <w:pPr>
            <w:jc w:val="right"/>
            <w:rPr>
              <w:lang w:val="en-GB"/>
            </w:rPr>
          </w:pPr>
          <w:r>
            <w:rPr>
              <w:lang w:val="en-GB"/>
            </w:rPr>
            <w:t>23 </w:t>
          </w:r>
          <w:r w:rsidR="00172A19">
            <w:rPr>
              <w:lang w:val="en-GB"/>
            </w:rPr>
            <w:t>December</w:t>
          </w:r>
          <w:r w:rsidR="00C90662">
            <w:rPr>
              <w:lang w:val="en-GB"/>
            </w:rPr>
            <w:t xml:space="preserve"> </w:t>
          </w:r>
          <w:r w:rsidR="00FE0D3A">
            <w:rPr>
              <w:lang w:val="en-GB"/>
            </w:rPr>
            <w:t>20</w:t>
          </w:r>
          <w:r w:rsidR="0088533F">
            <w:rPr>
              <w:lang w:val="en-GB"/>
            </w:rPr>
            <w:t>1</w:t>
          </w:r>
          <w:r w:rsidR="00160397">
            <w:rPr>
              <w:lang w:val="en-GB"/>
            </w:rPr>
            <w:t>6</w:t>
          </w:r>
        </w:p>
      </w:tc>
    </w:tr>
    <w:tr w:rsidR="00FE0D3A">
      <w:trPr>
        <w:cantSplit/>
        <w:trHeight w:val="542"/>
      </w:trPr>
      <w:tc>
        <w:tcPr>
          <w:tcW w:w="9900" w:type="dxa"/>
          <w:gridSpan w:val="3"/>
          <w:tcBorders>
            <w:top w:val="single" w:sz="12" w:space="0" w:color="auto"/>
          </w:tcBorders>
          <w:vAlign w:val="bottom"/>
        </w:tcPr>
        <w:p w:rsidR="00FE0D3A" w:rsidRDefault="00D032BD" w:rsidP="00D1788E">
          <w:pPr>
            <w:pStyle w:val="Heading4"/>
            <w:rPr>
              <w:sz w:val="20"/>
              <w:lang w:val="en-GB"/>
            </w:rPr>
          </w:pPr>
          <w:r>
            <w:rPr>
              <w:sz w:val="20"/>
              <w:lang w:val="en-GB"/>
            </w:rPr>
            <w:t>S</w:t>
          </w:r>
          <w:r w:rsidR="0035570F">
            <w:rPr>
              <w:sz w:val="20"/>
              <w:lang w:val="en-GB"/>
            </w:rPr>
            <w:t>event</w:t>
          </w:r>
          <w:r w:rsidR="005C170B">
            <w:rPr>
              <w:sz w:val="20"/>
              <w:lang w:val="en-GB"/>
            </w:rPr>
            <w:t>y-first</w:t>
          </w:r>
          <w:r w:rsidR="00FE0D3A">
            <w:rPr>
              <w:sz w:val="20"/>
              <w:lang w:val="en-GB"/>
            </w:rPr>
            <w:t xml:space="preserve"> session</w:t>
          </w:r>
        </w:p>
        <w:p w:rsidR="00FE0D3A" w:rsidRDefault="00FE0D3A" w:rsidP="00CA760B">
          <w:pPr>
            <w:rPr>
              <w:lang w:val="en-GB"/>
            </w:rPr>
          </w:pPr>
          <w:r>
            <w:rPr>
              <w:lang w:val="en-GB"/>
            </w:rPr>
            <w:t>Agenda item</w:t>
          </w:r>
          <w:r w:rsidR="00EB49B0">
            <w:rPr>
              <w:lang w:val="en-GB"/>
            </w:rPr>
            <w:t xml:space="preserve"> 57</w:t>
          </w:r>
          <w:r w:rsidR="00E16D9C">
            <w:rPr>
              <w:lang w:val="en-GB"/>
            </w:rPr>
            <w:t xml:space="preserve"> </w:t>
          </w:r>
        </w:p>
      </w:tc>
    </w:tr>
  </w:tbl>
  <w:p w:rsidR="00FE0D3A" w:rsidRDefault="00FE0D3A">
    <w:pPr>
      <w:pStyle w:val="Header"/>
      <w:rPr>
        <w:sz w:val="16"/>
        <w:vertAlign w:val="superscript"/>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BB225B" w:rsidRPr="00820B78" w:rsidTr="00820B78">
      <w:trPr>
        <w:trHeight w:val="720"/>
      </w:trPr>
      <w:tc>
        <w:tcPr>
          <w:tcW w:w="2520" w:type="dxa"/>
          <w:shd w:val="clear" w:color="auto" w:fill="auto"/>
          <w:vAlign w:val="bottom"/>
        </w:tcPr>
        <w:p w:rsidR="00BB225B" w:rsidRPr="00820B78" w:rsidRDefault="00EB49B0" w:rsidP="00820B78">
          <w:pPr>
            <w:tabs>
              <w:tab w:val="center" w:pos="4320"/>
              <w:tab w:val="right" w:pos="8640"/>
            </w:tabs>
            <w:spacing w:after="40"/>
            <w:rPr>
              <w:b/>
              <w:sz w:val="18"/>
              <w:lang w:val="en-GB"/>
            </w:rPr>
          </w:pPr>
          <w:r>
            <w:rPr>
              <w:b/>
              <w:sz w:val="18"/>
              <w:lang w:val="en-GB"/>
            </w:rPr>
            <w:t>A/RES/71/105</w:t>
          </w:r>
        </w:p>
      </w:tc>
      <w:tc>
        <w:tcPr>
          <w:tcW w:w="7330" w:type="dxa"/>
          <w:shd w:val="clear" w:color="auto" w:fill="auto"/>
          <w:vAlign w:val="bottom"/>
        </w:tcPr>
        <w:p w:rsidR="00BB225B" w:rsidRPr="00820B78" w:rsidRDefault="0065516E" w:rsidP="0065516E">
          <w:pPr>
            <w:tabs>
              <w:tab w:val="center" w:pos="4320"/>
              <w:tab w:val="right" w:pos="8640"/>
            </w:tabs>
            <w:spacing w:after="40"/>
            <w:jc w:val="right"/>
            <w:rPr>
              <w:b/>
              <w:sz w:val="18"/>
              <w:lang w:val="en-GB"/>
            </w:rPr>
          </w:pPr>
          <w:r w:rsidRPr="0065516E">
            <w:rPr>
              <w:b/>
              <w:sz w:val="18"/>
              <w:lang w:val="en-GB"/>
            </w:rPr>
            <w:t>Offers by Member States of study and training facilities</w:t>
          </w:r>
          <w:r>
            <w:rPr>
              <w:b/>
              <w:sz w:val="18"/>
              <w:lang w:val="en-GB"/>
            </w:rPr>
            <w:br/>
          </w:r>
          <w:r w:rsidRPr="0065516E">
            <w:rPr>
              <w:b/>
              <w:sz w:val="18"/>
              <w:lang w:val="en-GB"/>
            </w:rPr>
            <w:t>for inhabitants of Non-Self-Governing Territories</w:t>
          </w:r>
        </w:p>
      </w:tc>
    </w:tr>
  </w:tbl>
  <w:p w:rsidR="00FE0D3A" w:rsidRPr="00BB225B" w:rsidRDefault="00FE0D3A" w:rsidP="00BB225B">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BB225B" w:rsidRPr="00820B78" w:rsidTr="00820B78">
      <w:trPr>
        <w:trHeight w:val="720"/>
      </w:trPr>
      <w:tc>
        <w:tcPr>
          <w:tcW w:w="7330" w:type="dxa"/>
          <w:shd w:val="clear" w:color="auto" w:fill="auto"/>
          <w:vAlign w:val="bottom"/>
        </w:tcPr>
        <w:p w:rsidR="00BB225B" w:rsidRPr="00820B78" w:rsidRDefault="00BB225B" w:rsidP="00820B78">
          <w:pPr>
            <w:pStyle w:val="Header"/>
            <w:spacing w:after="40"/>
            <w:rPr>
              <w:b/>
              <w:sz w:val="18"/>
              <w:lang w:val="en-GB"/>
            </w:rPr>
          </w:pPr>
        </w:p>
      </w:tc>
      <w:tc>
        <w:tcPr>
          <w:tcW w:w="2552" w:type="dxa"/>
          <w:shd w:val="clear" w:color="auto" w:fill="auto"/>
          <w:vAlign w:val="bottom"/>
        </w:tcPr>
        <w:p w:rsidR="00BB225B" w:rsidRPr="00820B78" w:rsidRDefault="00EB49B0" w:rsidP="00820B78">
          <w:pPr>
            <w:pStyle w:val="Header"/>
            <w:spacing w:after="40"/>
            <w:jc w:val="right"/>
            <w:rPr>
              <w:b/>
              <w:sz w:val="18"/>
              <w:lang w:val="en-GB"/>
            </w:rPr>
          </w:pPr>
          <w:r>
            <w:rPr>
              <w:b/>
              <w:sz w:val="18"/>
              <w:lang w:val="en-GB"/>
            </w:rPr>
            <w:t>A/RES/71/105</w:t>
          </w:r>
        </w:p>
      </w:tc>
    </w:tr>
  </w:tbl>
  <w:p w:rsidR="00FE0D3A" w:rsidRPr="00BB225B" w:rsidRDefault="00FE0D3A" w:rsidP="00BB225B">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2"/>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299*"/>
    <w:docVar w:name="jobn" w:val="16-21299 (E)"/>
    <w:docVar w:name="JobNo" w:val="1621299E"/>
    <w:docVar w:name="ODSRefJobNo" w:val="1642887E"/>
    <w:docVar w:name="sss1" w:val="A/RES/71/105"/>
    <w:docVar w:name="sss2" w:val="-"/>
  </w:docVars>
  <w:rsids>
    <w:rsidRoot w:val="00EB49B0"/>
    <w:rsid w:val="00006958"/>
    <w:rsid w:val="0001024C"/>
    <w:rsid w:val="000171D2"/>
    <w:rsid w:val="0002022C"/>
    <w:rsid w:val="000541F7"/>
    <w:rsid w:val="0006081E"/>
    <w:rsid w:val="00070E4D"/>
    <w:rsid w:val="00082CFF"/>
    <w:rsid w:val="000A1126"/>
    <w:rsid w:val="000A41A7"/>
    <w:rsid w:val="000B5C65"/>
    <w:rsid w:val="000C12EA"/>
    <w:rsid w:val="000C4F04"/>
    <w:rsid w:val="000E5238"/>
    <w:rsid w:val="000E7802"/>
    <w:rsid w:val="000F7367"/>
    <w:rsid w:val="00116196"/>
    <w:rsid w:val="00121E53"/>
    <w:rsid w:val="001269A0"/>
    <w:rsid w:val="0015240C"/>
    <w:rsid w:val="001558B0"/>
    <w:rsid w:val="00160397"/>
    <w:rsid w:val="001644D2"/>
    <w:rsid w:val="001651EE"/>
    <w:rsid w:val="00172A19"/>
    <w:rsid w:val="001732ED"/>
    <w:rsid w:val="001A48A0"/>
    <w:rsid w:val="001D6A7D"/>
    <w:rsid w:val="001E319F"/>
    <w:rsid w:val="001F18C7"/>
    <w:rsid w:val="00221333"/>
    <w:rsid w:val="00225E2E"/>
    <w:rsid w:val="00231B8F"/>
    <w:rsid w:val="002334CB"/>
    <w:rsid w:val="002513C8"/>
    <w:rsid w:val="002650CD"/>
    <w:rsid w:val="00285AF4"/>
    <w:rsid w:val="00294FC9"/>
    <w:rsid w:val="002A0FA8"/>
    <w:rsid w:val="002B00A5"/>
    <w:rsid w:val="002D1855"/>
    <w:rsid w:val="002D40AE"/>
    <w:rsid w:val="002D5E02"/>
    <w:rsid w:val="002D73C2"/>
    <w:rsid w:val="002F277B"/>
    <w:rsid w:val="002F399B"/>
    <w:rsid w:val="00302C25"/>
    <w:rsid w:val="0030470E"/>
    <w:rsid w:val="003409A3"/>
    <w:rsid w:val="00351750"/>
    <w:rsid w:val="0035570F"/>
    <w:rsid w:val="00356A46"/>
    <w:rsid w:val="0036164D"/>
    <w:rsid w:val="003647A8"/>
    <w:rsid w:val="00383419"/>
    <w:rsid w:val="003959ED"/>
    <w:rsid w:val="003A62DF"/>
    <w:rsid w:val="003B3142"/>
    <w:rsid w:val="003C28CE"/>
    <w:rsid w:val="003D1FDC"/>
    <w:rsid w:val="003D2FD0"/>
    <w:rsid w:val="003D4CBE"/>
    <w:rsid w:val="003E1EF1"/>
    <w:rsid w:val="003F56DC"/>
    <w:rsid w:val="00443B1A"/>
    <w:rsid w:val="0045768F"/>
    <w:rsid w:val="0046491F"/>
    <w:rsid w:val="00464F86"/>
    <w:rsid w:val="00467D5F"/>
    <w:rsid w:val="00476394"/>
    <w:rsid w:val="00492466"/>
    <w:rsid w:val="00492F43"/>
    <w:rsid w:val="004A1A2E"/>
    <w:rsid w:val="004D4525"/>
    <w:rsid w:val="004D7D0D"/>
    <w:rsid w:val="004F254E"/>
    <w:rsid w:val="0050116D"/>
    <w:rsid w:val="00514F6F"/>
    <w:rsid w:val="005167FF"/>
    <w:rsid w:val="005168F3"/>
    <w:rsid w:val="0054317E"/>
    <w:rsid w:val="0054374F"/>
    <w:rsid w:val="00546BFE"/>
    <w:rsid w:val="00554BC0"/>
    <w:rsid w:val="00557926"/>
    <w:rsid w:val="005633B2"/>
    <w:rsid w:val="005664D4"/>
    <w:rsid w:val="00571347"/>
    <w:rsid w:val="00573AC1"/>
    <w:rsid w:val="00577203"/>
    <w:rsid w:val="005843AA"/>
    <w:rsid w:val="00586BAF"/>
    <w:rsid w:val="005878B9"/>
    <w:rsid w:val="00592C4A"/>
    <w:rsid w:val="005B0B65"/>
    <w:rsid w:val="005C1572"/>
    <w:rsid w:val="005C170B"/>
    <w:rsid w:val="005C670C"/>
    <w:rsid w:val="005D7EA4"/>
    <w:rsid w:val="005F65A0"/>
    <w:rsid w:val="00604502"/>
    <w:rsid w:val="006117C7"/>
    <w:rsid w:val="006124A3"/>
    <w:rsid w:val="006315C6"/>
    <w:rsid w:val="0065516E"/>
    <w:rsid w:val="006576ED"/>
    <w:rsid w:val="00657767"/>
    <w:rsid w:val="00662CE3"/>
    <w:rsid w:val="006768D0"/>
    <w:rsid w:val="00691B36"/>
    <w:rsid w:val="006A358A"/>
    <w:rsid w:val="006C1D35"/>
    <w:rsid w:val="006C3900"/>
    <w:rsid w:val="006C4647"/>
    <w:rsid w:val="006E6BA5"/>
    <w:rsid w:val="006F0DEC"/>
    <w:rsid w:val="006F0E44"/>
    <w:rsid w:val="006F2CDE"/>
    <w:rsid w:val="006F454A"/>
    <w:rsid w:val="006F589C"/>
    <w:rsid w:val="00701368"/>
    <w:rsid w:val="00716AF6"/>
    <w:rsid w:val="00730833"/>
    <w:rsid w:val="0073638F"/>
    <w:rsid w:val="00740566"/>
    <w:rsid w:val="00757836"/>
    <w:rsid w:val="00775124"/>
    <w:rsid w:val="00783714"/>
    <w:rsid w:val="007851E3"/>
    <w:rsid w:val="007900B5"/>
    <w:rsid w:val="007D015A"/>
    <w:rsid w:val="007D2D62"/>
    <w:rsid w:val="007D7D80"/>
    <w:rsid w:val="007E16F9"/>
    <w:rsid w:val="007F3293"/>
    <w:rsid w:val="008043A3"/>
    <w:rsid w:val="00804CAA"/>
    <w:rsid w:val="0080681C"/>
    <w:rsid w:val="00820B78"/>
    <w:rsid w:val="008246B0"/>
    <w:rsid w:val="00844A30"/>
    <w:rsid w:val="00850988"/>
    <w:rsid w:val="00854A55"/>
    <w:rsid w:val="008555E9"/>
    <w:rsid w:val="00880CEF"/>
    <w:rsid w:val="00881EDA"/>
    <w:rsid w:val="00883D1E"/>
    <w:rsid w:val="008852CB"/>
    <w:rsid w:val="0088533F"/>
    <w:rsid w:val="008901AF"/>
    <w:rsid w:val="008B5AEB"/>
    <w:rsid w:val="008D064D"/>
    <w:rsid w:val="008D1429"/>
    <w:rsid w:val="008E2271"/>
    <w:rsid w:val="008E2855"/>
    <w:rsid w:val="008F41A6"/>
    <w:rsid w:val="008F62BF"/>
    <w:rsid w:val="008F7783"/>
    <w:rsid w:val="00903D23"/>
    <w:rsid w:val="009049F3"/>
    <w:rsid w:val="009278FA"/>
    <w:rsid w:val="0094181D"/>
    <w:rsid w:val="00962CB1"/>
    <w:rsid w:val="009706CB"/>
    <w:rsid w:val="00981DD9"/>
    <w:rsid w:val="00991248"/>
    <w:rsid w:val="00995195"/>
    <w:rsid w:val="0099666F"/>
    <w:rsid w:val="009A35BA"/>
    <w:rsid w:val="009B6872"/>
    <w:rsid w:val="009C0B72"/>
    <w:rsid w:val="009D434D"/>
    <w:rsid w:val="009F1858"/>
    <w:rsid w:val="009F5B83"/>
    <w:rsid w:val="00A10F5C"/>
    <w:rsid w:val="00A11AF8"/>
    <w:rsid w:val="00A319C0"/>
    <w:rsid w:val="00A350F2"/>
    <w:rsid w:val="00A50AC3"/>
    <w:rsid w:val="00A50DDB"/>
    <w:rsid w:val="00A678D5"/>
    <w:rsid w:val="00A80BE9"/>
    <w:rsid w:val="00A878BB"/>
    <w:rsid w:val="00A97065"/>
    <w:rsid w:val="00AA1982"/>
    <w:rsid w:val="00AA4866"/>
    <w:rsid w:val="00AB7342"/>
    <w:rsid w:val="00AC2064"/>
    <w:rsid w:val="00AC292D"/>
    <w:rsid w:val="00AD094B"/>
    <w:rsid w:val="00AD69D6"/>
    <w:rsid w:val="00AF2B0F"/>
    <w:rsid w:val="00B241F9"/>
    <w:rsid w:val="00B2441D"/>
    <w:rsid w:val="00B25BDC"/>
    <w:rsid w:val="00B36899"/>
    <w:rsid w:val="00B36F3D"/>
    <w:rsid w:val="00B75343"/>
    <w:rsid w:val="00B82CF8"/>
    <w:rsid w:val="00B864FD"/>
    <w:rsid w:val="00B871C3"/>
    <w:rsid w:val="00B90E4D"/>
    <w:rsid w:val="00BA5B25"/>
    <w:rsid w:val="00BB0B73"/>
    <w:rsid w:val="00BB225B"/>
    <w:rsid w:val="00BB5AA4"/>
    <w:rsid w:val="00BC0234"/>
    <w:rsid w:val="00BC48C0"/>
    <w:rsid w:val="00C12D0B"/>
    <w:rsid w:val="00C14406"/>
    <w:rsid w:val="00C14EA9"/>
    <w:rsid w:val="00C1618B"/>
    <w:rsid w:val="00C254B2"/>
    <w:rsid w:val="00C263B8"/>
    <w:rsid w:val="00C33498"/>
    <w:rsid w:val="00C350ED"/>
    <w:rsid w:val="00C56179"/>
    <w:rsid w:val="00C764A9"/>
    <w:rsid w:val="00C8554B"/>
    <w:rsid w:val="00C90662"/>
    <w:rsid w:val="00CA703D"/>
    <w:rsid w:val="00CA7274"/>
    <w:rsid w:val="00CA760B"/>
    <w:rsid w:val="00CB3E0B"/>
    <w:rsid w:val="00CC7B83"/>
    <w:rsid w:val="00CD3B0D"/>
    <w:rsid w:val="00CD6034"/>
    <w:rsid w:val="00CD7707"/>
    <w:rsid w:val="00CF59D6"/>
    <w:rsid w:val="00D032BD"/>
    <w:rsid w:val="00D11019"/>
    <w:rsid w:val="00D1788E"/>
    <w:rsid w:val="00D21882"/>
    <w:rsid w:val="00D2221D"/>
    <w:rsid w:val="00D3193F"/>
    <w:rsid w:val="00D434E7"/>
    <w:rsid w:val="00D50E7C"/>
    <w:rsid w:val="00D81A63"/>
    <w:rsid w:val="00D85F50"/>
    <w:rsid w:val="00D87A36"/>
    <w:rsid w:val="00DA0EED"/>
    <w:rsid w:val="00DC1EF5"/>
    <w:rsid w:val="00DC280E"/>
    <w:rsid w:val="00DD48F5"/>
    <w:rsid w:val="00DF0B4C"/>
    <w:rsid w:val="00DF6675"/>
    <w:rsid w:val="00E10AC9"/>
    <w:rsid w:val="00E133FF"/>
    <w:rsid w:val="00E16D9C"/>
    <w:rsid w:val="00E460EF"/>
    <w:rsid w:val="00E7224E"/>
    <w:rsid w:val="00E72796"/>
    <w:rsid w:val="00E72923"/>
    <w:rsid w:val="00E84FE4"/>
    <w:rsid w:val="00E92AFA"/>
    <w:rsid w:val="00E939D0"/>
    <w:rsid w:val="00EA4448"/>
    <w:rsid w:val="00EA7D5A"/>
    <w:rsid w:val="00EB49B0"/>
    <w:rsid w:val="00ED0E70"/>
    <w:rsid w:val="00ED530B"/>
    <w:rsid w:val="00EE52E8"/>
    <w:rsid w:val="00EF333D"/>
    <w:rsid w:val="00EF4D2D"/>
    <w:rsid w:val="00EF6C47"/>
    <w:rsid w:val="00F01CB7"/>
    <w:rsid w:val="00F11416"/>
    <w:rsid w:val="00F1145E"/>
    <w:rsid w:val="00F56E84"/>
    <w:rsid w:val="00F633C6"/>
    <w:rsid w:val="00F83050"/>
    <w:rsid w:val="00FA5AC5"/>
    <w:rsid w:val="00FC402B"/>
    <w:rsid w:val="00FE0D3A"/>
    <w:rsid w:val="00FE6238"/>
    <w:rsid w:val="00FE6BFB"/>
    <w:rsid w:val="00FF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6551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atLeast"/>
      <w:ind w:left="1267" w:right="1267" w:hanging="1267"/>
      <w:outlineLvl w:val="0"/>
    </w:pPr>
    <w:rPr>
      <w:rFonts w:eastAsia="Calibri"/>
      <w:b/>
      <w:spacing w:val="4"/>
      <w:w w:val="103"/>
      <w:kern w:val="14"/>
      <w:sz w:val="24"/>
      <w:lang w:val="en-GB"/>
    </w:rPr>
  </w:style>
  <w:style w:type="character" w:customStyle="1" w:styleId="FootnoteTextChar">
    <w:name w:val="Footnote Text Char"/>
    <w:link w:val="FootnoteText"/>
    <w:rsid w:val="0065516E"/>
  </w:style>
  <w:style w:type="character" w:styleId="Hyperlink">
    <w:name w:val="Hyperlink"/>
    <w:rsid w:val="0065516E"/>
    <w:rPr>
      <w:color w:val="0000FF"/>
      <w:u w:val="none"/>
    </w:rPr>
  </w:style>
  <w:style w:type="paragraph" w:styleId="Revision">
    <w:name w:val="Revision"/>
    <w:hidden/>
    <w:uiPriority w:val="99"/>
    <w:semiHidden/>
    <w:rsid w:val="00E84FE4"/>
    <w:rPr>
      <w:lang w:val="en-US" w:eastAsia="en-US"/>
    </w:rPr>
  </w:style>
  <w:style w:type="character" w:styleId="FollowedHyperlink">
    <w:name w:val="FollowedHyperlink"/>
    <w:basedOn w:val="DefaultParagraphFont"/>
    <w:rsid w:val="00231B8F"/>
    <w:rPr>
      <w:color w:val="0000FF"/>
      <w:u w:val="none"/>
    </w:rPr>
  </w:style>
  <w:style w:type="paragraph" w:styleId="CommentSubject">
    <w:name w:val="annotation subject"/>
    <w:basedOn w:val="CommentText"/>
    <w:next w:val="CommentText"/>
    <w:link w:val="CommentSubjectChar"/>
    <w:rsid w:val="00231B8F"/>
    <w:rPr>
      <w:b/>
      <w:bCs/>
    </w:rPr>
  </w:style>
  <w:style w:type="character" w:customStyle="1" w:styleId="CommentTextChar">
    <w:name w:val="Comment Text Char"/>
    <w:basedOn w:val="DefaultParagraphFont"/>
    <w:link w:val="CommentText"/>
    <w:semiHidden/>
    <w:rsid w:val="00231B8F"/>
    <w:rPr>
      <w:lang w:val="en-US" w:eastAsia="en-US"/>
    </w:rPr>
  </w:style>
  <w:style w:type="character" w:customStyle="1" w:styleId="CommentSubjectChar">
    <w:name w:val="Comment Subject Char"/>
    <w:basedOn w:val="CommentTextChar"/>
    <w:link w:val="CommentSubject"/>
    <w:rsid w:val="00231B8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6551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atLeast"/>
      <w:ind w:left="1267" w:right="1267" w:hanging="1267"/>
      <w:outlineLvl w:val="0"/>
    </w:pPr>
    <w:rPr>
      <w:rFonts w:eastAsia="Calibri"/>
      <w:b/>
      <w:spacing w:val="4"/>
      <w:w w:val="103"/>
      <w:kern w:val="14"/>
      <w:sz w:val="24"/>
      <w:lang w:val="en-GB"/>
    </w:rPr>
  </w:style>
  <w:style w:type="character" w:customStyle="1" w:styleId="FootnoteTextChar">
    <w:name w:val="Footnote Text Char"/>
    <w:link w:val="FootnoteText"/>
    <w:rsid w:val="0065516E"/>
  </w:style>
  <w:style w:type="character" w:styleId="Hyperlink">
    <w:name w:val="Hyperlink"/>
    <w:rsid w:val="0065516E"/>
    <w:rPr>
      <w:color w:val="0000FF"/>
      <w:u w:val="none"/>
    </w:rPr>
  </w:style>
  <w:style w:type="paragraph" w:styleId="Revision">
    <w:name w:val="Revision"/>
    <w:hidden/>
    <w:uiPriority w:val="99"/>
    <w:semiHidden/>
    <w:rsid w:val="00E84FE4"/>
    <w:rPr>
      <w:lang w:val="en-US" w:eastAsia="en-US"/>
    </w:rPr>
  </w:style>
  <w:style w:type="character" w:styleId="FollowedHyperlink">
    <w:name w:val="FollowedHyperlink"/>
    <w:basedOn w:val="DefaultParagraphFont"/>
    <w:rsid w:val="00231B8F"/>
    <w:rPr>
      <w:color w:val="0000FF"/>
      <w:u w:val="none"/>
    </w:rPr>
  </w:style>
  <w:style w:type="paragraph" w:styleId="CommentSubject">
    <w:name w:val="annotation subject"/>
    <w:basedOn w:val="CommentText"/>
    <w:next w:val="CommentText"/>
    <w:link w:val="CommentSubjectChar"/>
    <w:rsid w:val="00231B8F"/>
    <w:rPr>
      <w:b/>
      <w:bCs/>
    </w:rPr>
  </w:style>
  <w:style w:type="character" w:customStyle="1" w:styleId="CommentTextChar">
    <w:name w:val="Comment Text Char"/>
    <w:basedOn w:val="DefaultParagraphFont"/>
    <w:link w:val="CommentText"/>
    <w:semiHidden/>
    <w:rsid w:val="00231B8F"/>
    <w:rPr>
      <w:lang w:val="en-US" w:eastAsia="en-US"/>
    </w:rPr>
  </w:style>
  <w:style w:type="character" w:customStyle="1" w:styleId="CommentSubjectChar">
    <w:name w:val="Comment Subject Char"/>
    <w:basedOn w:val="CommentTextChar"/>
    <w:link w:val="CommentSubject"/>
    <w:rsid w:val="00231B8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ndocs.org/A/RES/70/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undocs.org/A/71/501" TargetMode="Externa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undocs.org/A/71/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English_RES.dot</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A/RES/71/105</vt:lpstr>
    </vt:vector>
  </TitlesOfParts>
  <Company>United Nations</Company>
  <LinksUpToDate>false</LinksUpToDate>
  <CharactersWithSpaces>2310</CharactersWithSpaces>
  <SharedDoc>false</SharedDoc>
  <HLinks>
    <vt:vector size="12" baseType="variant">
      <vt:variant>
        <vt:i4>4587531</vt:i4>
      </vt:variant>
      <vt:variant>
        <vt:i4>0</vt:i4>
      </vt:variant>
      <vt:variant>
        <vt:i4>0</vt:i4>
      </vt:variant>
      <vt:variant>
        <vt:i4>5</vt:i4>
      </vt:variant>
      <vt:variant>
        <vt:lpwstr>http://undocs.org/A/RES/70/97</vt:lpwstr>
      </vt:variant>
      <vt:variant>
        <vt:lpwstr/>
      </vt:variant>
      <vt:variant>
        <vt:i4>196618</vt:i4>
      </vt:variant>
      <vt:variant>
        <vt:i4>0</vt:i4>
      </vt:variant>
      <vt:variant>
        <vt:i4>0</vt:i4>
      </vt:variant>
      <vt:variant>
        <vt:i4>5</vt:i4>
      </vt:variant>
      <vt:variant>
        <vt:lpwstr>http://undocs.org/A/71/70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A/RES/71/105</dc:title>
  <dc:creator>ac</dc:creator>
  <cp:keywords>1642887</cp:keywords>
  <dc:description>2 pp</dc:description>
  <cp:lastModifiedBy>English Text Processing Front Desk2</cp:lastModifiedBy>
  <cp:revision>4</cp:revision>
  <cp:lastPrinted>2017-01-03T17:57:00Z</cp:lastPrinted>
  <dcterms:created xsi:type="dcterms:W3CDTF">2017-01-03T17:57:00Z</dcterms:created>
  <dcterms:modified xsi:type="dcterms:W3CDTF">2017-01-03T18:54:00Z</dcterms:modified>
  <cp:category>1621299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1621299E</vt:lpwstr>
  </property>
  <property fmtid="{D5CDD505-2E9C-101B-9397-08002B2CF9AE}" pid="3" name="ODSRefJobNo">
    <vt:lpwstr>1642887E</vt:lpwstr>
  </property>
  <property fmtid="{D5CDD505-2E9C-101B-9397-08002B2CF9AE}" pid="4" name="Symbol1">
    <vt:lpwstr>A/RES/71/105</vt:lpwstr>
  </property>
  <property fmtid="{D5CDD505-2E9C-101B-9397-08002B2CF9AE}" pid="5" name="Symbol2">
    <vt:lpwstr/>
  </property>
</Properties>
</file>