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AB" w:rsidRDefault="00492183" w:rsidP="00237B42">
      <w:pPr>
        <w:spacing w:line="240" w:lineRule="auto"/>
        <w:jc w:val="left"/>
        <w:rPr>
          <w:rFonts w:hint="cs"/>
          <w:szCs w:val="6"/>
          <w:rtl/>
          <w:lang w:bidi="ar-SY"/>
        </w:rPr>
      </w:pPr>
      <w:r>
        <w:rPr>
          <w:rStyle w:val="CommentReference"/>
        </w:rPr>
        <w:commentReference w:id="0"/>
      </w:r>
      <w:bookmarkStart w:id="1" w:name="_GoBack"/>
      <w:bookmarkEnd w:id="1"/>
    </w:p>
    <w:p w:rsidR="00492183" w:rsidRPr="00492183" w:rsidRDefault="00492183" w:rsidP="00492183">
      <w:pPr>
        <w:spacing w:line="20" w:lineRule="exact"/>
        <w:jc w:val="left"/>
        <w:rPr>
          <w:rFonts w:hint="cs"/>
          <w:sz w:val="2"/>
          <w:szCs w:val="6"/>
          <w:rtl/>
          <w:lang w:bidi="ar-SY"/>
        </w:rPr>
        <w:sectPr w:rsidR="00492183" w:rsidRPr="00492183">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584" w:right="1195" w:bottom="1440" w:left="1195" w:header="576" w:footer="1008" w:gutter="0"/>
          <w:cols w:space="720"/>
          <w:titlePg/>
          <w:bidi/>
          <w:rtlGutter/>
        </w:sectPr>
      </w:pPr>
    </w:p>
    <w:p w:rsidR="008A15AB" w:rsidRDefault="008A15AB" w:rsidP="000F33FA">
      <w:pPr>
        <w:pStyle w:val="DualTxt"/>
        <w:tabs>
          <w:tab w:val="clear" w:pos="662"/>
          <w:tab w:val="clear" w:pos="1325"/>
          <w:tab w:val="clear" w:pos="1987"/>
          <w:tab w:val="clear" w:pos="2650"/>
          <w:tab w:val="clear" w:pos="3312"/>
          <w:tab w:val="clear" w:pos="3974"/>
          <w:tab w:val="clear" w:pos="4637"/>
        </w:tabs>
        <w:spacing w:after="0" w:line="120" w:lineRule="exact"/>
        <w:jc w:val="left"/>
        <w:rPr>
          <w:rFonts w:hint="cs"/>
          <w:b/>
          <w:bCs/>
          <w:sz w:val="12"/>
          <w:szCs w:val="36"/>
          <w:rtl/>
        </w:rPr>
      </w:pPr>
    </w:p>
    <w:p w:rsidR="008A15AB" w:rsidRDefault="008A15AB" w:rsidP="001B6977">
      <w:pPr>
        <w:pStyle w:val="DualTxt"/>
        <w:tabs>
          <w:tab w:val="clear" w:pos="662"/>
          <w:tab w:val="clear" w:pos="1325"/>
          <w:tab w:val="clear" w:pos="1987"/>
          <w:tab w:val="clear" w:pos="2650"/>
          <w:tab w:val="clear" w:pos="3312"/>
          <w:tab w:val="clear" w:pos="3974"/>
          <w:tab w:val="clear" w:pos="4637"/>
        </w:tabs>
        <w:spacing w:after="0"/>
        <w:jc w:val="center"/>
        <w:rPr>
          <w:rFonts w:hint="cs"/>
          <w:szCs w:val="44"/>
          <w:rtl/>
          <w:lang w:bidi="ar-SY"/>
        </w:rPr>
      </w:pPr>
      <w:r>
        <w:rPr>
          <w:b/>
          <w:bCs/>
          <w:szCs w:val="44"/>
          <w:rtl/>
        </w:rPr>
        <w:t>قرار اتخذته الجمعية العامة</w:t>
      </w:r>
      <w:r w:rsidR="00A06E05">
        <w:rPr>
          <w:rFonts w:hint="cs"/>
          <w:b/>
          <w:bCs/>
          <w:szCs w:val="44"/>
          <w:rtl/>
        </w:rPr>
        <w:t xml:space="preserve"> في</w:t>
      </w:r>
      <w:r w:rsidR="00E80384">
        <w:rPr>
          <w:rFonts w:hint="cs"/>
          <w:b/>
          <w:bCs/>
          <w:szCs w:val="44"/>
          <w:rtl/>
          <w:lang w:bidi="ar-SY"/>
        </w:rPr>
        <w:t xml:space="preserve"> </w:t>
      </w:r>
      <w:r w:rsidR="001B6977">
        <w:rPr>
          <w:rFonts w:hint="cs"/>
          <w:b/>
          <w:bCs/>
          <w:szCs w:val="44"/>
          <w:rtl/>
          <w:lang w:bidi="ar-SY"/>
        </w:rPr>
        <w:t xml:space="preserve">5 كانون الأول/ديسمبر </w:t>
      </w:r>
      <w:r w:rsidR="00C4297E">
        <w:rPr>
          <w:rFonts w:hint="cs"/>
          <w:b/>
          <w:bCs/>
          <w:szCs w:val="44"/>
          <w:rtl/>
          <w:lang w:bidi="ar-SY"/>
        </w:rPr>
        <w:t>2016</w:t>
      </w:r>
    </w:p>
    <w:p w:rsidR="008A15AB" w:rsidRDefault="008A15AB">
      <w:pPr>
        <w:pStyle w:val="DualTxt"/>
        <w:tabs>
          <w:tab w:val="clear" w:pos="662"/>
          <w:tab w:val="clear" w:pos="1325"/>
          <w:tab w:val="clear" w:pos="1987"/>
          <w:tab w:val="clear" w:pos="2650"/>
          <w:tab w:val="clear" w:pos="3312"/>
          <w:tab w:val="clear" w:pos="3974"/>
          <w:tab w:val="clear" w:pos="4637"/>
        </w:tabs>
        <w:spacing w:after="0" w:line="120" w:lineRule="exact"/>
        <w:jc w:val="center"/>
        <w:rPr>
          <w:sz w:val="12"/>
          <w:rtl/>
        </w:rPr>
      </w:pPr>
    </w:p>
    <w:p w:rsidR="008D2028" w:rsidRPr="005067F3" w:rsidRDefault="008D2028" w:rsidP="008C3914">
      <w:pPr>
        <w:pStyle w:val="SingleTxt"/>
        <w:jc w:val="center"/>
        <w:rPr>
          <w:rFonts w:hint="cs"/>
          <w:iCs/>
          <w:rtl/>
        </w:rPr>
      </w:pPr>
      <w:r>
        <w:rPr>
          <w:rFonts w:eastAsia="PMingLiU"/>
          <w:iCs/>
          <w:lang w:eastAsia="zh-TW"/>
        </w:rPr>
        <w:t>]</w:t>
      </w:r>
      <w:r w:rsidR="008C3914">
        <w:rPr>
          <w:rFonts w:hint="eastAsia"/>
          <w:iCs/>
          <w:rtl/>
        </w:rPr>
        <w:t>بناء</w:t>
      </w:r>
      <w:r w:rsidR="008C3914">
        <w:rPr>
          <w:iCs/>
          <w:rtl/>
        </w:rPr>
        <w:t xml:space="preserve"> على تقرير اللجنة الأولى</w:t>
      </w:r>
      <w:r w:rsidR="008C3914">
        <w:rPr>
          <w:rFonts w:hint="cs"/>
          <w:iCs/>
          <w:rtl/>
        </w:rPr>
        <w:t xml:space="preserve"> (</w:t>
      </w:r>
      <w:hyperlink r:id="rId12" w:history="1">
        <w:r w:rsidR="008C3914" w:rsidRPr="00835600">
          <w:rPr>
            <w:rStyle w:val="Hyperlink"/>
            <w:i/>
          </w:rPr>
          <w:t>A/71/450</w:t>
        </w:r>
      </w:hyperlink>
      <w:r w:rsidR="0023056D">
        <w:rPr>
          <w:rFonts w:hint="cs"/>
          <w:iCs/>
          <w:rtl/>
        </w:rPr>
        <w:t>)</w:t>
      </w:r>
      <w:r>
        <w:rPr>
          <w:iCs/>
        </w:rPr>
        <w:t>[</w:t>
      </w:r>
    </w:p>
    <w:p w:rsidR="008A15AB" w:rsidRDefault="008A15AB" w:rsidP="00B1471A">
      <w:pPr>
        <w:pStyle w:val="SingleTxt"/>
        <w:rPr>
          <w:rFonts w:hint="cs"/>
          <w:rtl/>
          <w:lang w:bidi="ar-SY"/>
        </w:rPr>
      </w:pPr>
    </w:p>
    <w:p w:rsidR="00A06E05" w:rsidRPr="00237B42" w:rsidRDefault="007C1FE6" w:rsidP="00237B42">
      <w:pPr>
        <w:pStyle w:val="H1"/>
        <w:spacing w:after="120"/>
        <w:ind w:left="2707" w:right="1267" w:hanging="1440"/>
        <w:rPr>
          <w:rFonts w:hint="cs"/>
          <w:w w:val="100"/>
          <w:rtl/>
        </w:rPr>
      </w:pPr>
      <w:r w:rsidRPr="00237B42">
        <w:rPr>
          <w:rFonts w:hint="cs"/>
          <w:w w:val="100"/>
          <w:rtl/>
          <w:lang w:bidi="ar-SY"/>
        </w:rPr>
        <w:t>71</w:t>
      </w:r>
      <w:r w:rsidR="009A5A99" w:rsidRPr="00237B42">
        <w:rPr>
          <w:rFonts w:hint="cs"/>
          <w:w w:val="100"/>
          <w:rtl/>
          <w:lang w:bidi="ar-SY"/>
        </w:rPr>
        <w:t>/</w:t>
      </w:r>
      <w:r w:rsidR="008C3914" w:rsidRPr="00237B42">
        <w:rPr>
          <w:rFonts w:hint="cs"/>
          <w:w w:val="100"/>
          <w:rtl/>
          <w:lang w:bidi="ar-SY"/>
        </w:rPr>
        <w:t>68</w:t>
      </w:r>
      <w:r w:rsidR="009A5A99" w:rsidRPr="00237B42">
        <w:rPr>
          <w:rFonts w:hint="cs"/>
          <w:w w:val="100"/>
          <w:rtl/>
          <w:lang w:bidi="ar-SY"/>
        </w:rPr>
        <w:t xml:space="preserve"> -</w:t>
      </w:r>
      <w:r w:rsidR="009A5A99" w:rsidRPr="00237B42">
        <w:rPr>
          <w:rFonts w:hint="cs"/>
          <w:w w:val="100"/>
          <w:rtl/>
          <w:lang w:bidi="ar-SY"/>
        </w:rPr>
        <w:tab/>
      </w:r>
      <w:r w:rsidR="00237B42" w:rsidRPr="00237B42">
        <w:rPr>
          <w:w w:val="100"/>
          <w:rtl/>
        </w:rPr>
        <w:t>التشريعات الوطنية المتعلقة بنقل الأسلحة والمعدات العسكرية والسلع والتكنولوجيا ذات الاستخدام المزدوج</w:t>
      </w:r>
    </w:p>
    <w:p w:rsidR="00A06E05" w:rsidRPr="004F06C6" w:rsidRDefault="00A06E05" w:rsidP="004F06C6">
      <w:pPr>
        <w:pStyle w:val="SingleTxt"/>
        <w:widowControl w:val="0"/>
        <w:spacing w:after="0" w:line="120" w:lineRule="exact"/>
        <w:ind w:left="0" w:right="0"/>
        <w:jc w:val="both"/>
        <w:rPr>
          <w:rFonts w:hint="cs"/>
          <w:sz w:val="10"/>
          <w:rtl/>
          <w:lang w:bidi="ar-SY"/>
        </w:rPr>
      </w:pPr>
    </w:p>
    <w:p w:rsidR="00237B42" w:rsidRPr="008861B8" w:rsidRDefault="00237B42" w:rsidP="00237B42">
      <w:pPr>
        <w:keepNext/>
        <w:tabs>
          <w:tab w:val="left" w:pos="1930"/>
          <w:tab w:val="left" w:pos="2592"/>
          <w:tab w:val="left" w:pos="3254"/>
          <w:tab w:val="left" w:pos="3917"/>
          <w:tab w:val="left" w:pos="4579"/>
          <w:tab w:val="left" w:pos="5242"/>
          <w:tab w:val="left" w:pos="5904"/>
          <w:tab w:val="left" w:pos="6566"/>
        </w:tabs>
        <w:spacing w:after="120" w:line="380" w:lineRule="exact"/>
        <w:ind w:left="1264" w:right="1264"/>
        <w:rPr>
          <w:rtl/>
        </w:rPr>
      </w:pPr>
      <w:r w:rsidRPr="008861B8">
        <w:rPr>
          <w:rFonts w:hint="cs"/>
          <w:rtl/>
        </w:rPr>
        <w:tab/>
      </w:r>
      <w:r w:rsidRPr="008861B8">
        <w:rPr>
          <w:rFonts w:hint="cs"/>
          <w:b/>
          <w:bCs/>
          <w:i/>
          <w:iCs/>
          <w:rtl/>
        </w:rPr>
        <w:t>إن الجمعية العامة</w:t>
      </w:r>
      <w:r w:rsidRPr="008861B8">
        <w:rPr>
          <w:rFonts w:hint="cs"/>
          <w:rtl/>
        </w:rPr>
        <w:t>،</w:t>
      </w:r>
    </w:p>
    <w:p w:rsidR="00237B42" w:rsidRPr="008861B8" w:rsidRDefault="00237B42" w:rsidP="00237B42">
      <w:pPr>
        <w:tabs>
          <w:tab w:val="left" w:pos="1930"/>
          <w:tab w:val="left" w:pos="2592"/>
          <w:tab w:val="left" w:pos="3254"/>
          <w:tab w:val="left" w:pos="3917"/>
          <w:tab w:val="left" w:pos="4579"/>
          <w:tab w:val="left" w:pos="5242"/>
          <w:tab w:val="left" w:pos="5904"/>
          <w:tab w:val="left" w:pos="6566"/>
        </w:tabs>
        <w:spacing w:after="120" w:line="380" w:lineRule="exact"/>
        <w:ind w:left="1264" w:right="1264"/>
        <w:rPr>
          <w:rtl/>
        </w:rPr>
      </w:pPr>
      <w:r w:rsidRPr="008861B8">
        <w:rPr>
          <w:rFonts w:hint="cs"/>
          <w:rtl/>
        </w:rPr>
        <w:tab/>
      </w:r>
      <w:r w:rsidRPr="008861B8">
        <w:rPr>
          <w:rFonts w:hint="cs"/>
          <w:b/>
          <w:bCs/>
          <w:i/>
          <w:iCs/>
          <w:rtl/>
        </w:rPr>
        <w:t>إذ تسلّم</w:t>
      </w:r>
      <w:r w:rsidRPr="008861B8">
        <w:rPr>
          <w:rFonts w:hint="cs"/>
          <w:rtl/>
        </w:rPr>
        <w:t xml:space="preserve"> بأن نزع السلاح وتحديد الأسلحة ومنع انتشار الأسلحة أمور أساسية لصون السلام والأمن الدوليين،</w:t>
      </w:r>
    </w:p>
    <w:p w:rsidR="00237B42" w:rsidRPr="008861B8" w:rsidRDefault="00237B42" w:rsidP="00237B42">
      <w:pPr>
        <w:tabs>
          <w:tab w:val="left" w:pos="1930"/>
          <w:tab w:val="left" w:pos="2592"/>
          <w:tab w:val="left" w:pos="3254"/>
          <w:tab w:val="left" w:pos="3917"/>
          <w:tab w:val="left" w:pos="4579"/>
          <w:tab w:val="left" w:pos="5242"/>
          <w:tab w:val="left" w:pos="5904"/>
          <w:tab w:val="left" w:pos="6566"/>
        </w:tabs>
        <w:spacing w:after="120" w:line="380" w:lineRule="exact"/>
        <w:ind w:left="1264" w:right="1264"/>
        <w:rPr>
          <w:rtl/>
        </w:rPr>
      </w:pPr>
      <w:r w:rsidRPr="008861B8">
        <w:rPr>
          <w:rFonts w:hint="cs"/>
          <w:rtl/>
        </w:rPr>
        <w:tab/>
      </w:r>
      <w:r w:rsidRPr="008861B8">
        <w:rPr>
          <w:rFonts w:hint="cs"/>
          <w:b/>
          <w:bCs/>
          <w:i/>
          <w:iCs/>
          <w:rtl/>
        </w:rPr>
        <w:t>وإذ تشير</w:t>
      </w:r>
      <w:r w:rsidRPr="008861B8">
        <w:rPr>
          <w:rFonts w:hint="cs"/>
          <w:rtl/>
        </w:rPr>
        <w:t xml:space="preserve"> إلى أن الرقابة الوطنية الفعالة على نقل الأسلحة والمعدات العسكرية والسلع والتكنولوجيا ذات الاستخدام المزدوج، بما فيها عمليات النقل التي يمكن أن تساهم في أنشطة الانتشار، وسيلة هامة لتحقيق تلك الأهداف،</w:t>
      </w:r>
    </w:p>
    <w:p w:rsidR="00237B42" w:rsidRPr="008861B8" w:rsidRDefault="00237B42" w:rsidP="00AC142B">
      <w:pPr>
        <w:tabs>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8861B8">
        <w:rPr>
          <w:rFonts w:hint="cs"/>
          <w:rtl/>
        </w:rPr>
        <w:tab/>
      </w:r>
      <w:r w:rsidRPr="008861B8">
        <w:rPr>
          <w:rFonts w:hint="cs"/>
          <w:b/>
          <w:bCs/>
          <w:i/>
          <w:iCs/>
          <w:rtl/>
        </w:rPr>
        <w:t>وإذ تشير أيضا</w:t>
      </w:r>
      <w:r w:rsidRPr="008861B8">
        <w:rPr>
          <w:rFonts w:hint="cs"/>
          <w:rtl/>
        </w:rPr>
        <w:t xml:space="preserve"> إلى أن الدول الأطراف في المعاهدات الدولية المتعلقة بنزع السلاح ومنع الانتشار قد تعهدت بتيسير تبادل المواد والمعدات والمعلومات التكنولوجية بأقصى قدر</w:t>
      </w:r>
      <w:r w:rsidRPr="008861B8">
        <w:rPr>
          <w:rFonts w:hint="eastAsia"/>
          <w:rtl/>
        </w:rPr>
        <w:t> </w:t>
      </w:r>
      <w:r w:rsidRPr="008861B8">
        <w:rPr>
          <w:rFonts w:hint="cs"/>
          <w:rtl/>
        </w:rPr>
        <w:t>ممكن من أجل استخدامها في الأغراض السلمية وفقا لأحكام تلك المعاهدات،</w:t>
      </w:r>
    </w:p>
    <w:p w:rsidR="00237B42" w:rsidRPr="008861B8" w:rsidRDefault="00237B42" w:rsidP="00AC142B">
      <w:pPr>
        <w:tabs>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8861B8">
        <w:rPr>
          <w:rFonts w:hint="cs"/>
          <w:rtl/>
        </w:rPr>
        <w:tab/>
      </w:r>
      <w:r w:rsidRPr="008861B8">
        <w:rPr>
          <w:rFonts w:hint="cs"/>
          <w:b/>
          <w:bCs/>
          <w:i/>
          <w:iCs/>
          <w:rtl/>
        </w:rPr>
        <w:t>وإذ تـرى</w:t>
      </w:r>
      <w:r w:rsidRPr="008861B8">
        <w:rPr>
          <w:rFonts w:hint="cs"/>
          <w:rtl/>
        </w:rPr>
        <w:t xml:space="preserve"> أن تبادل التشريعات والأنظمة والإجراءات الوطنية المتعلقة بنقل الأسلحة والمعدات العسكرية والسلع والتكنولوجيا ذات الاستخدام المزدوج يسهم في إيجاد تفاهم وثقة متبادلة بين الدول الأعضاء،</w:t>
      </w:r>
    </w:p>
    <w:p w:rsidR="00237B42" w:rsidRPr="008861B8" w:rsidRDefault="00237B42" w:rsidP="00AC142B">
      <w:pPr>
        <w:tabs>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8861B8">
        <w:rPr>
          <w:rFonts w:hint="cs"/>
          <w:rtl/>
        </w:rPr>
        <w:tab/>
      </w:r>
      <w:r w:rsidRPr="008861B8">
        <w:rPr>
          <w:rFonts w:hint="cs"/>
          <w:b/>
          <w:bCs/>
          <w:i/>
          <w:iCs/>
          <w:rtl/>
        </w:rPr>
        <w:t>واقتناعا منها</w:t>
      </w:r>
      <w:r w:rsidRPr="008861B8">
        <w:rPr>
          <w:rFonts w:hint="cs"/>
          <w:rtl/>
        </w:rPr>
        <w:t xml:space="preserve"> بأن هذا التبادل يعود بالنفع على الدول الأعضاء التي هي بصدد وضع</w:t>
      </w:r>
      <w:r w:rsidRPr="008861B8">
        <w:rPr>
          <w:rFonts w:hint="eastAsia"/>
          <w:rtl/>
        </w:rPr>
        <w:t> </w:t>
      </w:r>
      <w:r w:rsidRPr="008861B8">
        <w:rPr>
          <w:rFonts w:hint="cs"/>
          <w:rtl/>
        </w:rPr>
        <w:t>تشريعات من هذا القبيل،</w:t>
      </w:r>
    </w:p>
    <w:p w:rsidR="00237B42" w:rsidRPr="00237B42" w:rsidRDefault="00237B42" w:rsidP="00AC142B">
      <w:pPr>
        <w:tabs>
          <w:tab w:val="left" w:pos="1930"/>
          <w:tab w:val="left" w:pos="2592"/>
          <w:tab w:val="left" w:pos="3254"/>
          <w:tab w:val="left" w:pos="3917"/>
          <w:tab w:val="left" w:pos="4579"/>
          <w:tab w:val="left" w:pos="5242"/>
          <w:tab w:val="left" w:pos="5904"/>
          <w:tab w:val="left" w:pos="6566"/>
        </w:tabs>
        <w:spacing w:after="120" w:line="380" w:lineRule="exact"/>
        <w:ind w:left="1267" w:right="1267"/>
        <w:rPr>
          <w:spacing w:val="-2"/>
          <w:w w:val="101"/>
          <w:rtl/>
        </w:rPr>
      </w:pPr>
      <w:r w:rsidRPr="00237B42">
        <w:rPr>
          <w:rFonts w:hint="cs"/>
          <w:spacing w:val="-2"/>
          <w:w w:val="101"/>
          <w:rtl/>
        </w:rPr>
        <w:tab/>
      </w:r>
      <w:r w:rsidRPr="00237B42">
        <w:rPr>
          <w:rFonts w:hint="cs"/>
          <w:b/>
          <w:bCs/>
          <w:i/>
          <w:iCs/>
          <w:spacing w:val="-2"/>
          <w:w w:val="101"/>
          <w:rtl/>
        </w:rPr>
        <w:t>وإذ ترحب</w:t>
      </w:r>
      <w:r w:rsidRPr="00237B42">
        <w:rPr>
          <w:rFonts w:hint="cs"/>
          <w:spacing w:val="-2"/>
          <w:w w:val="101"/>
          <w:rtl/>
        </w:rPr>
        <w:t xml:space="preserve"> بإنشاء مكتب شؤون نزع السلاح في الأمانة العامة قاعدة البيانات الإلكترونية التي يمكن الاطلاع فيها على جميع المعلومات التي جرى تبادلها عملا بقرارات الجمعية العامة </w:t>
      </w:r>
      <w:hyperlink r:id="rId13" w:history="1">
        <w:r w:rsidRPr="00835600">
          <w:rPr>
            <w:rStyle w:val="Hyperlink"/>
            <w:rFonts w:hint="cs"/>
            <w:spacing w:val="-2"/>
            <w:w w:val="101"/>
            <w:rtl/>
          </w:rPr>
          <w:t>57/66</w:t>
        </w:r>
      </w:hyperlink>
      <w:r w:rsidRPr="00237B42">
        <w:rPr>
          <w:rFonts w:hint="cs"/>
          <w:spacing w:val="-2"/>
          <w:w w:val="101"/>
          <w:rtl/>
        </w:rPr>
        <w:t xml:space="preserve"> المؤرخ 22 تشرين الثاني/نوفمبر 2002 و</w:t>
      </w:r>
      <w:hyperlink r:id="rId14" w:history="1">
        <w:r w:rsidRPr="00835600">
          <w:rPr>
            <w:rStyle w:val="Hyperlink"/>
            <w:rFonts w:hint="cs"/>
            <w:spacing w:val="-2"/>
            <w:w w:val="101"/>
            <w:rtl/>
          </w:rPr>
          <w:t> 58/42</w:t>
        </w:r>
      </w:hyperlink>
      <w:r w:rsidRPr="00237B42">
        <w:rPr>
          <w:rFonts w:hint="cs"/>
          <w:spacing w:val="-2"/>
          <w:w w:val="101"/>
          <w:rtl/>
        </w:rPr>
        <w:t xml:space="preserve"> المؤرخ 8 كانون الأول/ديسمبر 2003 و</w:t>
      </w:r>
      <w:hyperlink r:id="rId15" w:history="1">
        <w:r w:rsidRPr="00835600">
          <w:rPr>
            <w:rStyle w:val="Hyperlink"/>
            <w:rFonts w:hint="cs"/>
            <w:spacing w:val="-2"/>
            <w:w w:val="101"/>
            <w:rtl/>
          </w:rPr>
          <w:t> 59/66</w:t>
        </w:r>
      </w:hyperlink>
      <w:r w:rsidRPr="00237B42">
        <w:rPr>
          <w:rFonts w:hint="cs"/>
          <w:spacing w:val="-2"/>
          <w:w w:val="101"/>
          <w:rtl/>
        </w:rPr>
        <w:t xml:space="preserve"> المؤرخ 3 كانون الأول/ديسمبر 2004 و</w:t>
      </w:r>
      <w:hyperlink r:id="rId16" w:history="1">
        <w:r w:rsidRPr="00835600">
          <w:rPr>
            <w:rStyle w:val="Hyperlink"/>
            <w:rFonts w:hint="cs"/>
            <w:spacing w:val="-2"/>
            <w:w w:val="101"/>
            <w:rtl/>
          </w:rPr>
          <w:t> 60/69</w:t>
        </w:r>
      </w:hyperlink>
      <w:r w:rsidRPr="00237B42">
        <w:rPr>
          <w:rFonts w:hint="cs"/>
          <w:spacing w:val="-2"/>
          <w:w w:val="101"/>
          <w:rtl/>
        </w:rPr>
        <w:t xml:space="preserve"> المؤرخ </w:t>
      </w:r>
      <w:r w:rsidRPr="00237B42">
        <w:rPr>
          <w:rFonts w:hint="cs"/>
          <w:spacing w:val="-2"/>
          <w:w w:val="101"/>
          <w:rtl/>
        </w:rPr>
        <w:lastRenderedPageBreak/>
        <w:t>8</w:t>
      </w:r>
      <w:r>
        <w:rPr>
          <w:rFonts w:hint="eastAsia"/>
          <w:spacing w:val="-2"/>
          <w:w w:val="101"/>
          <w:rtl/>
        </w:rPr>
        <w:t> </w:t>
      </w:r>
      <w:r w:rsidRPr="00237B42">
        <w:rPr>
          <w:rFonts w:hint="cs"/>
          <w:spacing w:val="-2"/>
          <w:w w:val="101"/>
          <w:rtl/>
        </w:rPr>
        <w:t>كانون الأول/ديسمبر 2005 و</w:t>
      </w:r>
      <w:hyperlink r:id="rId17" w:history="1">
        <w:r w:rsidRPr="00835600">
          <w:rPr>
            <w:rStyle w:val="Hyperlink"/>
            <w:rFonts w:hint="cs"/>
            <w:spacing w:val="-2"/>
            <w:w w:val="101"/>
            <w:rtl/>
          </w:rPr>
          <w:t> 62/26</w:t>
        </w:r>
      </w:hyperlink>
      <w:r w:rsidRPr="00237B42">
        <w:rPr>
          <w:rFonts w:hint="cs"/>
          <w:spacing w:val="-2"/>
          <w:w w:val="101"/>
          <w:rtl/>
        </w:rPr>
        <w:t xml:space="preserve"> المؤرخ 5 كانون الأول/ديسمبر 2007 و</w:t>
      </w:r>
      <w:hyperlink r:id="rId18" w:history="1">
        <w:r w:rsidRPr="00835600">
          <w:rPr>
            <w:rStyle w:val="Hyperlink"/>
            <w:rFonts w:hint="cs"/>
            <w:spacing w:val="-2"/>
            <w:w w:val="101"/>
            <w:rtl/>
          </w:rPr>
          <w:t> 64/40</w:t>
        </w:r>
      </w:hyperlink>
      <w:r w:rsidRPr="00237B42">
        <w:rPr>
          <w:rFonts w:hint="cs"/>
          <w:spacing w:val="-2"/>
          <w:w w:val="101"/>
          <w:rtl/>
        </w:rPr>
        <w:t xml:space="preserve"> المؤرخ 2 كانون الأول/ديسمبر 2009 </w:t>
      </w:r>
      <w:hyperlink r:id="rId19" w:history="1">
        <w:r w:rsidRPr="00835600">
          <w:rPr>
            <w:rStyle w:val="Hyperlink"/>
            <w:rFonts w:hint="cs"/>
            <w:spacing w:val="-2"/>
            <w:w w:val="101"/>
            <w:rtl/>
          </w:rPr>
          <w:t>و 66/41</w:t>
        </w:r>
      </w:hyperlink>
      <w:r w:rsidRPr="00237B42">
        <w:rPr>
          <w:rFonts w:hint="cs"/>
          <w:spacing w:val="-2"/>
          <w:w w:val="101"/>
          <w:rtl/>
        </w:rPr>
        <w:t xml:space="preserve"> المؤرخ 2 كانون الأول/ديسمبر 2011 و</w:t>
      </w:r>
      <w:r w:rsidRPr="00237B42">
        <w:rPr>
          <w:spacing w:val="-2"/>
          <w:w w:val="101"/>
          <w:rtl/>
        </w:rPr>
        <w:t> </w:t>
      </w:r>
      <w:hyperlink r:id="rId20" w:history="1">
        <w:r w:rsidRPr="00835600">
          <w:rPr>
            <w:rStyle w:val="Hyperlink"/>
            <w:spacing w:val="-2"/>
            <w:w w:val="101"/>
            <w:rtl/>
          </w:rPr>
          <w:t>68/44</w:t>
        </w:r>
      </w:hyperlink>
      <w:r w:rsidRPr="00237B42">
        <w:rPr>
          <w:spacing w:val="-2"/>
          <w:w w:val="101"/>
          <w:rtl/>
        </w:rPr>
        <w:t xml:space="preserve"> </w:t>
      </w:r>
      <w:r w:rsidRPr="00237B42">
        <w:rPr>
          <w:rFonts w:hint="cs"/>
          <w:spacing w:val="-2"/>
          <w:w w:val="101"/>
          <w:rtl/>
        </w:rPr>
        <w:t>المؤرخ 5 كانون الأول/ديسمبر 2013، المعنونة ”التشريعات الوطنية المتعلقة بنقل الأسلحة والمعدات العسكرية والسلع والتكنولوجيا ذات</w:t>
      </w:r>
      <w:r w:rsidRPr="00237B42">
        <w:rPr>
          <w:rFonts w:hint="eastAsia"/>
          <w:spacing w:val="-2"/>
          <w:w w:val="101"/>
          <w:rtl/>
        </w:rPr>
        <w:t> </w:t>
      </w:r>
      <w:r w:rsidRPr="00237B42">
        <w:rPr>
          <w:rFonts w:hint="cs"/>
          <w:spacing w:val="-2"/>
          <w:w w:val="101"/>
          <w:rtl/>
        </w:rPr>
        <w:t>الاستخدام المزدوج“،</w:t>
      </w:r>
    </w:p>
    <w:p w:rsidR="00237B42" w:rsidRPr="008861B8" w:rsidRDefault="00237B42" w:rsidP="00237B42">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8861B8">
        <w:rPr>
          <w:rFonts w:hint="cs"/>
          <w:i/>
          <w:iCs/>
          <w:rtl/>
        </w:rPr>
        <w:tab/>
      </w:r>
      <w:r w:rsidRPr="008861B8">
        <w:rPr>
          <w:rFonts w:hint="cs"/>
          <w:b/>
          <w:bCs/>
          <w:i/>
          <w:iCs/>
          <w:rtl/>
        </w:rPr>
        <w:t>وإذ ترحب أيضا</w:t>
      </w:r>
      <w:r w:rsidRPr="008861B8">
        <w:rPr>
          <w:rFonts w:hint="cs"/>
          <w:i/>
          <w:iCs/>
          <w:rtl/>
        </w:rPr>
        <w:t xml:space="preserve"> </w:t>
      </w:r>
      <w:r w:rsidRPr="008861B8">
        <w:rPr>
          <w:rFonts w:hint="cs"/>
          <w:rtl/>
        </w:rPr>
        <w:t>باعتماد الجمعية العامة معاهدة تجارة الأسلحة</w:t>
      </w:r>
      <w:r w:rsidRPr="008861B8">
        <w:rPr>
          <w:vertAlign w:val="superscript"/>
          <w:rtl/>
        </w:rPr>
        <w:t>(</w:t>
      </w:r>
      <w:bookmarkStart w:id="2" w:name="_Ref468976033"/>
      <w:r w:rsidRPr="008861B8">
        <w:rPr>
          <w:spacing w:val="5"/>
          <w:sz w:val="17"/>
          <w:szCs w:val="26"/>
          <w:vertAlign w:val="superscript"/>
          <w:rtl/>
        </w:rPr>
        <w:footnoteReference w:id="1"/>
      </w:r>
      <w:bookmarkEnd w:id="2"/>
      <w:r w:rsidRPr="008861B8">
        <w:rPr>
          <w:vertAlign w:val="superscript"/>
          <w:rtl/>
        </w:rPr>
        <w:t>)</w:t>
      </w:r>
      <w:r w:rsidRPr="008861B8">
        <w:rPr>
          <w:rFonts w:hint="cs"/>
          <w:rtl/>
        </w:rPr>
        <w:t xml:space="preserve"> وببدء نفاذ هذه</w:t>
      </w:r>
      <w:r w:rsidRPr="008861B8">
        <w:rPr>
          <w:rFonts w:hint="eastAsia"/>
          <w:rtl/>
        </w:rPr>
        <w:t> </w:t>
      </w:r>
      <w:r w:rsidRPr="008861B8">
        <w:rPr>
          <w:rFonts w:hint="cs"/>
          <w:rtl/>
        </w:rPr>
        <w:t>المعاهدة في 2 نيسان/أبريل 2013</w:t>
      </w:r>
      <w:r>
        <w:rPr>
          <w:rFonts w:hint="cs"/>
          <w:rtl/>
        </w:rPr>
        <w:t xml:space="preserve"> و</w:t>
      </w:r>
      <w:r>
        <w:rPr>
          <w:rtl/>
        </w:rPr>
        <w:t> </w:t>
      </w:r>
      <w:r w:rsidRPr="008861B8">
        <w:rPr>
          <w:rFonts w:hint="cs"/>
          <w:rtl/>
        </w:rPr>
        <w:t>24 كانون الأول/ديسمبر 2014، على التوالي، وإذ تشير إلى أن المعاهدة</w:t>
      </w:r>
      <w:r>
        <w:rPr>
          <w:rFonts w:hint="cs"/>
          <w:rtl/>
        </w:rPr>
        <w:t xml:space="preserve"> ما</w:t>
      </w:r>
      <w:r>
        <w:rPr>
          <w:rtl/>
        </w:rPr>
        <w:t> </w:t>
      </w:r>
      <w:r w:rsidRPr="008861B8">
        <w:rPr>
          <w:rFonts w:hint="cs"/>
          <w:rtl/>
        </w:rPr>
        <w:t>زالت مفتوحة كي تنضم إليها الدول التي لم توقّعها بعد،</w:t>
      </w:r>
    </w:p>
    <w:p w:rsidR="00237B42" w:rsidRPr="008861B8" w:rsidRDefault="00237B42" w:rsidP="00237B42">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8861B8">
        <w:rPr>
          <w:rFonts w:hint="cs"/>
          <w:i/>
          <w:iCs/>
          <w:rtl/>
        </w:rPr>
        <w:tab/>
      </w:r>
      <w:r w:rsidRPr="008861B8">
        <w:rPr>
          <w:rFonts w:hint="cs"/>
          <w:b/>
          <w:bCs/>
          <w:i/>
          <w:iCs/>
          <w:rtl/>
        </w:rPr>
        <w:t>وإذ ترى</w:t>
      </w:r>
      <w:r w:rsidRPr="008861B8">
        <w:rPr>
          <w:rFonts w:hint="cs"/>
          <w:i/>
          <w:iCs/>
          <w:rtl/>
        </w:rPr>
        <w:t xml:space="preserve"> </w:t>
      </w:r>
      <w:r w:rsidRPr="008861B8">
        <w:rPr>
          <w:rFonts w:hint="cs"/>
          <w:rtl/>
        </w:rPr>
        <w:t>أنه طالما لم تصبح أطرافا في المعاهدة جميع الدول التي تقدم تقاريرها إلى</w:t>
      </w:r>
      <w:r w:rsidRPr="008861B8">
        <w:rPr>
          <w:rFonts w:hint="eastAsia"/>
          <w:rtl/>
        </w:rPr>
        <w:t> </w:t>
      </w:r>
      <w:r w:rsidRPr="008861B8">
        <w:rPr>
          <w:rFonts w:hint="cs"/>
          <w:rtl/>
        </w:rPr>
        <w:t>قاعدة البيانات الإلكترونية التي أنشأها مكتب شؤون نزع السلاح، ستظل قاعدة البيانات هذه تحتفظ بقيمتها المضافة،</w:t>
      </w:r>
    </w:p>
    <w:p w:rsidR="00237B42" w:rsidRPr="008861B8" w:rsidRDefault="00237B42" w:rsidP="00AC142B">
      <w:pPr>
        <w:tabs>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8861B8">
        <w:rPr>
          <w:rFonts w:hint="cs"/>
          <w:rtl/>
        </w:rPr>
        <w:tab/>
      </w:r>
      <w:r w:rsidRPr="008861B8">
        <w:rPr>
          <w:rFonts w:hint="cs"/>
          <w:b/>
          <w:bCs/>
          <w:i/>
          <w:iCs/>
          <w:rtl/>
        </w:rPr>
        <w:t>وإذ تعيد تأكيد</w:t>
      </w:r>
      <w:r w:rsidRPr="008861B8">
        <w:rPr>
          <w:rFonts w:hint="cs"/>
          <w:rtl/>
        </w:rPr>
        <w:t xml:space="preserve"> الحق الطبيعي في الدفاع الفردي أو الجماعي عن النفس وفقا للمادة</w:t>
      </w:r>
      <w:r w:rsidRPr="008861B8">
        <w:rPr>
          <w:rFonts w:hint="eastAsia"/>
          <w:rtl/>
        </w:rPr>
        <w:t> </w:t>
      </w:r>
      <w:r w:rsidRPr="008861B8">
        <w:rPr>
          <w:rFonts w:hint="cs"/>
          <w:rtl/>
        </w:rPr>
        <w:t>51 من ميثاق الأمم المتحدة،</w:t>
      </w:r>
    </w:p>
    <w:p w:rsidR="00237B42" w:rsidRPr="008861B8" w:rsidRDefault="00237B42" w:rsidP="004B72C7">
      <w:pPr>
        <w:tabs>
          <w:tab w:val="left" w:pos="1930"/>
          <w:tab w:val="left" w:pos="2592"/>
          <w:tab w:val="left" w:pos="3254"/>
          <w:tab w:val="left" w:pos="3917"/>
          <w:tab w:val="left" w:pos="4579"/>
          <w:tab w:val="left" w:pos="5242"/>
          <w:tab w:val="left" w:pos="5904"/>
          <w:tab w:val="left" w:pos="6566"/>
        </w:tabs>
        <w:spacing w:after="120"/>
        <w:ind w:left="1264" w:right="1264"/>
        <w:rPr>
          <w:rFonts w:hint="cs"/>
          <w:rtl/>
        </w:rPr>
      </w:pPr>
      <w:r w:rsidRPr="008861B8">
        <w:rPr>
          <w:rFonts w:hint="cs"/>
          <w:rtl/>
        </w:rPr>
        <w:tab/>
        <w:t>1 -</w:t>
      </w:r>
      <w:r w:rsidRPr="008861B8">
        <w:rPr>
          <w:rFonts w:hint="cs"/>
          <w:rtl/>
        </w:rPr>
        <w:tab/>
      </w:r>
      <w:r w:rsidRPr="008861B8">
        <w:rPr>
          <w:rFonts w:hint="cs"/>
          <w:b/>
          <w:bCs/>
          <w:i/>
          <w:iCs/>
          <w:rtl/>
        </w:rPr>
        <w:t>تدعـو</w:t>
      </w:r>
      <w:r w:rsidRPr="008861B8">
        <w:rPr>
          <w:rFonts w:hint="cs"/>
          <w:rtl/>
        </w:rPr>
        <w:t xml:space="preserve"> الدول الأعضاء التي يمكنها سن تشريعات وإرساء أنظمة واتخاذ إجراءات وطنية لممارسة رقابة فعالة على نقل الأسلحة والمعدات العسكرية والسلع والتكنولوجيا ذات الاستخدام المزدوج، أو تحسين</w:t>
      </w:r>
      <w:r>
        <w:rPr>
          <w:rFonts w:hint="cs"/>
          <w:rtl/>
        </w:rPr>
        <w:t xml:space="preserve"> ما</w:t>
      </w:r>
      <w:r>
        <w:rPr>
          <w:rtl/>
        </w:rPr>
        <w:t> </w:t>
      </w:r>
      <w:r w:rsidRPr="008861B8">
        <w:rPr>
          <w:rFonts w:hint="cs"/>
          <w:rtl/>
        </w:rPr>
        <w:t>هو قائم منها، إلى القيام بذلك، دون</w:t>
      </w:r>
      <w:r w:rsidRPr="008861B8">
        <w:rPr>
          <w:rFonts w:hint="eastAsia"/>
          <w:rtl/>
        </w:rPr>
        <w:t> </w:t>
      </w:r>
      <w:r w:rsidRPr="008861B8">
        <w:rPr>
          <w:rFonts w:hint="cs"/>
          <w:rtl/>
        </w:rPr>
        <w:t xml:space="preserve">الإخلال بالأحكام الواردة في قرار مجلس الأمن </w:t>
      </w:r>
      <w:hyperlink r:id="rId21" w:history="1">
        <w:r w:rsidRPr="00835600">
          <w:rPr>
            <w:rStyle w:val="Hyperlink"/>
            <w:rFonts w:hint="cs"/>
            <w:rtl/>
          </w:rPr>
          <w:t>1540 (2004)</w:t>
        </w:r>
      </w:hyperlink>
      <w:r w:rsidRPr="008861B8">
        <w:rPr>
          <w:rFonts w:hint="cs"/>
          <w:rtl/>
        </w:rPr>
        <w:t xml:space="preserve"> المؤرخ 28</w:t>
      </w:r>
      <w:r w:rsidRPr="008861B8">
        <w:rPr>
          <w:rFonts w:hint="eastAsia"/>
          <w:rtl/>
        </w:rPr>
        <w:t> </w:t>
      </w:r>
      <w:r w:rsidRPr="008861B8">
        <w:rPr>
          <w:rFonts w:hint="cs"/>
          <w:rtl/>
        </w:rPr>
        <w:t xml:space="preserve">نيسان/أبريل 2004 وقرارات المجلس اللاحقة </w:t>
      </w:r>
      <w:r w:rsidR="004B72C7">
        <w:rPr>
          <w:rFonts w:hint="cs"/>
          <w:rtl/>
        </w:rPr>
        <w:t>ذات الصلة</w:t>
      </w:r>
      <w:r w:rsidRPr="008861B8">
        <w:rPr>
          <w:rFonts w:hint="cs"/>
          <w:rtl/>
        </w:rPr>
        <w:t>، مع كفالة اتساق هذه</w:t>
      </w:r>
      <w:r w:rsidRPr="008861B8">
        <w:rPr>
          <w:rFonts w:hint="eastAsia"/>
          <w:rtl/>
        </w:rPr>
        <w:t> </w:t>
      </w:r>
      <w:r w:rsidRPr="008861B8">
        <w:rPr>
          <w:rFonts w:hint="cs"/>
          <w:rtl/>
        </w:rPr>
        <w:t>التشريعات والأنظمة والإجراءات مع التزامات الدول الأطراف بموجب المعاهدات الدولية مثل معاهدة تجارة الأسلحة</w:t>
      </w:r>
      <w:r w:rsidRPr="008861B8">
        <w:rPr>
          <w:rFonts w:hint="cs"/>
          <w:vertAlign w:val="superscript"/>
          <w:rtl/>
        </w:rPr>
        <w:t>(</w:t>
      </w:r>
      <w:r>
        <w:rPr>
          <w:vertAlign w:val="superscript"/>
          <w:rtl/>
        </w:rPr>
        <w:fldChar w:fldCharType="begin"/>
      </w:r>
      <w:r>
        <w:rPr>
          <w:vertAlign w:val="superscript"/>
          <w:rtl/>
        </w:rPr>
        <w:instrText xml:space="preserve"> </w:instrText>
      </w:r>
      <w:r>
        <w:rPr>
          <w:rFonts w:hint="cs"/>
          <w:vertAlign w:val="superscript"/>
        </w:rPr>
        <w:instrText>NOTEREF</w:instrText>
      </w:r>
      <w:r>
        <w:rPr>
          <w:rFonts w:hint="cs"/>
          <w:vertAlign w:val="superscript"/>
          <w:rtl/>
        </w:rPr>
        <w:instrText xml:space="preserve"> _</w:instrText>
      </w:r>
      <w:r>
        <w:rPr>
          <w:rFonts w:hint="cs"/>
          <w:vertAlign w:val="superscript"/>
        </w:rPr>
        <w:instrText>Ref468976033 \h</w:instrText>
      </w:r>
      <w:r>
        <w:rPr>
          <w:vertAlign w:val="superscript"/>
          <w:rtl/>
        </w:rPr>
        <w:instrText xml:space="preserve"> </w:instrText>
      </w:r>
      <w:r>
        <w:rPr>
          <w:vertAlign w:val="superscript"/>
          <w:rtl/>
        </w:rPr>
      </w:r>
      <w:r>
        <w:rPr>
          <w:vertAlign w:val="superscript"/>
          <w:rtl/>
        </w:rPr>
        <w:fldChar w:fldCharType="separate"/>
      </w:r>
      <w:r w:rsidR="00835600">
        <w:rPr>
          <w:vertAlign w:val="superscript"/>
          <w:rtl/>
        </w:rPr>
        <w:t>1</w:t>
      </w:r>
      <w:r>
        <w:rPr>
          <w:vertAlign w:val="superscript"/>
          <w:rtl/>
        </w:rPr>
        <w:fldChar w:fldCharType="end"/>
      </w:r>
      <w:r w:rsidRPr="008861B8">
        <w:rPr>
          <w:rFonts w:hint="cs"/>
          <w:vertAlign w:val="superscript"/>
          <w:rtl/>
        </w:rPr>
        <w:t>)</w:t>
      </w:r>
      <w:r w:rsidRPr="008861B8">
        <w:rPr>
          <w:rFonts w:hint="cs"/>
          <w:rtl/>
        </w:rPr>
        <w:t>؛</w:t>
      </w:r>
    </w:p>
    <w:p w:rsidR="00237B42" w:rsidRPr="008861B8" w:rsidRDefault="00237B42" w:rsidP="00AC142B">
      <w:pPr>
        <w:tabs>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8861B8">
        <w:rPr>
          <w:rFonts w:hint="cs"/>
          <w:rtl/>
        </w:rPr>
        <w:tab/>
        <w:t>2 -</w:t>
      </w:r>
      <w:r w:rsidRPr="008861B8">
        <w:rPr>
          <w:rFonts w:hint="cs"/>
          <w:i/>
          <w:iCs/>
          <w:rtl/>
        </w:rPr>
        <w:tab/>
      </w:r>
      <w:r w:rsidRPr="008861B8">
        <w:rPr>
          <w:rFonts w:hint="cs"/>
          <w:b/>
          <w:bCs/>
          <w:i/>
          <w:iCs/>
          <w:rtl/>
        </w:rPr>
        <w:t>تشجع</w:t>
      </w:r>
      <w:r w:rsidRPr="008861B8">
        <w:rPr>
          <w:rFonts w:hint="cs"/>
          <w:rtl/>
        </w:rPr>
        <w:t xml:space="preserve"> الدول الأعضاء على أن تقدم، على أساس طوعي، معلومات إلى</w:t>
      </w:r>
      <w:r w:rsidRPr="008861B8">
        <w:rPr>
          <w:rFonts w:hint="eastAsia"/>
          <w:rtl/>
        </w:rPr>
        <w:t> </w:t>
      </w:r>
      <w:r w:rsidRPr="008861B8">
        <w:rPr>
          <w:rFonts w:hint="cs"/>
          <w:rtl/>
        </w:rPr>
        <w:t>الأمين العام عن تشريعاتها وأنظمتها وإجراءاتها الوطنية المتعلقة بنقل الأسلحة والمعدات العسكرية والسلع والتكنولوجيا ذات الاستخدام المزدوج، وما يطرأ عليها من تغييرات، وتطلب إلى الأمين العام أن يتيح تلك المعلومات للدول الأعضاء؛</w:t>
      </w:r>
    </w:p>
    <w:p w:rsidR="00237B42" w:rsidRDefault="00237B42" w:rsidP="00AC142B">
      <w:pPr>
        <w:tabs>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8861B8">
        <w:rPr>
          <w:rFonts w:hint="cs"/>
          <w:rtl/>
        </w:rPr>
        <w:tab/>
        <w:t>3 -</w:t>
      </w:r>
      <w:r w:rsidRPr="008861B8">
        <w:rPr>
          <w:rFonts w:hint="cs"/>
          <w:rtl/>
        </w:rPr>
        <w:tab/>
      </w:r>
      <w:r w:rsidRPr="008861B8">
        <w:rPr>
          <w:rFonts w:hint="cs"/>
          <w:b/>
          <w:bCs/>
          <w:i/>
          <w:iCs/>
          <w:rtl/>
        </w:rPr>
        <w:t>تقـرر</w:t>
      </w:r>
      <w:r w:rsidRPr="008861B8">
        <w:rPr>
          <w:rFonts w:hint="cs"/>
          <w:rtl/>
        </w:rPr>
        <w:t xml:space="preserve"> أن تبقي المسألة قيد اهتمامها.</w:t>
      </w:r>
    </w:p>
    <w:p w:rsidR="008A15AB" w:rsidRDefault="008A15AB" w:rsidP="00AC142B">
      <w:pPr>
        <w:pStyle w:val="SingleTxt"/>
        <w:spacing w:line="360" w:lineRule="exact"/>
        <w:jc w:val="right"/>
        <w:rPr>
          <w:rFonts w:hint="cs"/>
          <w:i/>
          <w:iCs/>
          <w:rtl/>
          <w:lang w:bidi="ar-EG"/>
        </w:rPr>
      </w:pPr>
      <w:r>
        <w:rPr>
          <w:i/>
          <w:iCs/>
          <w:rtl/>
        </w:rPr>
        <w:t xml:space="preserve">الجلسة العامة </w:t>
      </w:r>
      <w:r w:rsidR="001B6977">
        <w:rPr>
          <w:rFonts w:hint="cs"/>
          <w:i/>
          <w:iCs/>
          <w:rtl/>
        </w:rPr>
        <w:t>51</w:t>
      </w:r>
      <w:r>
        <w:rPr>
          <w:i/>
          <w:iCs/>
          <w:rtl/>
        </w:rPr>
        <w:br/>
      </w:r>
      <w:r w:rsidR="001B6977">
        <w:rPr>
          <w:rFonts w:hint="cs"/>
          <w:i/>
          <w:iCs/>
          <w:rtl/>
        </w:rPr>
        <w:t xml:space="preserve">5 كانون الأول/ديسمبر </w:t>
      </w:r>
      <w:r w:rsidR="007C1FE6">
        <w:rPr>
          <w:rFonts w:hint="cs"/>
          <w:i/>
          <w:iCs/>
          <w:rtl/>
        </w:rPr>
        <w:t>2016</w:t>
      </w:r>
    </w:p>
    <w:p w:rsidR="008A15AB" w:rsidRDefault="00B23E1E" w:rsidP="008C3914">
      <w:pPr>
        <w:pStyle w:val="SingleTxt"/>
        <w:bidi w:val="0"/>
        <w:jc w:val="right"/>
        <w:rPr>
          <w:rFonts w:hint="cs"/>
          <w:i/>
          <w:iCs/>
          <w:rtl/>
          <w:lang w:bidi="ar-SY"/>
        </w:rPr>
      </w:pPr>
      <w:r>
        <w:rPr>
          <w:rFonts w:hint="cs"/>
          <w:i/>
          <w:iCs/>
          <w:noProof/>
          <w:w w:val="100"/>
          <w:rtl/>
        </w:rPr>
        <w:pict>
          <v:line id="_x0000_s1026" style="position:absolute;left:0;text-align:left;z-index:251657728" from="210.25pt,27.4pt" to="282.25pt,27.4pt" strokeweight=".2pt">
            <w10:wrap anchorx="page"/>
          </v:line>
        </w:pict>
      </w:r>
    </w:p>
    <w:sectPr w:rsidR="008A15AB">
      <w:headerReference w:type="even" r:id="rId22"/>
      <w:headerReference w:type="default" r:id="rId23"/>
      <w:footerReference w:type="even" r:id="rId24"/>
      <w:footerReference w:type="default" r:id="rId25"/>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20T10:57:00Z" w:initials="Start">
    <w:p w:rsidR="00492183" w:rsidRDefault="00492183">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NO&gt;&gt;N1642233A&lt;&lt;ODS JOB NO</w:t>
      </w:r>
      <w:r>
        <w:rPr>
          <w:rtl/>
        </w:rPr>
        <w:t>&gt;&gt;</w:t>
      </w:r>
    </w:p>
    <w:p w:rsidR="00492183" w:rsidRDefault="00492183">
      <w:pPr>
        <w:pStyle w:val="CommentText"/>
        <w:rPr>
          <w:rtl/>
        </w:rPr>
      </w:pPr>
      <w:r>
        <w:rPr>
          <w:rtl/>
        </w:rPr>
        <w:t>&lt;&lt;</w:t>
      </w:r>
      <w:r>
        <w:t>ODS DOC SYMBOL1&gt;&gt;A/RES/71/68&lt;&lt;ODS DOC SYMBOL1</w:t>
      </w:r>
      <w:r>
        <w:rPr>
          <w:rtl/>
        </w:rPr>
        <w:t>&gt;&gt;</w:t>
      </w:r>
    </w:p>
    <w:p w:rsidR="00492183" w:rsidRDefault="00492183">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51" w:rsidRDefault="001F4051">
      <w:r>
        <w:separator/>
      </w:r>
    </w:p>
  </w:endnote>
  <w:endnote w:type="continuationSeparator" w:id="0">
    <w:p w:rsidR="001F4051" w:rsidRDefault="001F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code Symbols">
    <w:altName w:val="MS Mincho"/>
    <w:charset w:val="00"/>
    <w:family w:val="roman"/>
    <w:pitch w:val="variable"/>
    <w:sig w:usb0="00000001" w:usb1="1A03FBFF" w:usb2="00000027" w:usb3="00000000" w:csb0="0000000D" w:csb1="00000000"/>
  </w:font>
  <w:font w:name="Arial Unicode MS">
    <w:panose1 w:val="020B0604020202020204"/>
    <w:charset w:val="80"/>
    <w:family w:val="swiss"/>
    <w:pitch w:val="variable"/>
    <w:sig w:usb0="F7FFAFFF" w:usb1="E9DFFFFF" w:usb2="0000003F" w:usb3="00000000" w:csb0="003F01FF"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4219BE">
      <w:tblPrEx>
        <w:tblCellMar>
          <w:top w:w="0" w:type="dxa"/>
          <w:bottom w:w="0" w:type="dxa"/>
        </w:tblCellMar>
      </w:tblPrEx>
      <w:trPr>
        <w:jc w:val="right"/>
      </w:trPr>
      <w:tc>
        <w:tcPr>
          <w:tcW w:w="5033" w:type="dxa"/>
        </w:tcPr>
        <w:p w:rsidR="004219BE" w:rsidRDefault="004219BE">
          <w:pPr>
            <w:pStyle w:val="Footer"/>
          </w:pPr>
          <w:r>
            <w:fldChar w:fldCharType="begin"/>
          </w:r>
          <w:r>
            <w:instrText xml:space="preserve"> PAGE  \* MERGEFORMAT </w:instrText>
          </w:r>
          <w:r>
            <w:fldChar w:fldCharType="separate"/>
          </w:r>
          <w:r w:rsidR="00835600">
            <w:rPr>
              <w:noProof/>
            </w:rPr>
            <w:t>2</w:t>
          </w:r>
          <w:r>
            <w:fldChar w:fldCharType="end"/>
          </w:r>
        </w:p>
      </w:tc>
      <w:tc>
        <w:tcPr>
          <w:tcW w:w="5033" w:type="dxa"/>
        </w:tcPr>
        <w:p w:rsidR="004219BE" w:rsidRDefault="004219BE">
          <w:pPr>
            <w:pStyle w:val="Footer"/>
            <w:rPr>
              <w:b w:val="0"/>
            </w:rPr>
          </w:pPr>
        </w:p>
      </w:tc>
    </w:tr>
  </w:tbl>
  <w:p w:rsidR="004219BE" w:rsidRDefault="00421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4219BE">
      <w:tblPrEx>
        <w:tblCellMar>
          <w:top w:w="0" w:type="dxa"/>
          <w:bottom w:w="0" w:type="dxa"/>
        </w:tblCellMar>
      </w:tblPrEx>
      <w:trPr>
        <w:jc w:val="right"/>
      </w:trPr>
      <w:tc>
        <w:tcPr>
          <w:tcW w:w="5033" w:type="dxa"/>
        </w:tcPr>
        <w:p w:rsidR="004219BE" w:rsidRDefault="004219BE">
          <w:pPr>
            <w:pStyle w:val="Footer"/>
            <w:rPr>
              <w:b w:val="0"/>
            </w:rPr>
          </w:pPr>
        </w:p>
      </w:tc>
      <w:tc>
        <w:tcPr>
          <w:tcW w:w="5033" w:type="dxa"/>
        </w:tcPr>
        <w:p w:rsidR="004219BE" w:rsidRDefault="004219BE">
          <w:pPr>
            <w:pStyle w:val="Footer"/>
          </w:pPr>
          <w:r>
            <w:fldChar w:fldCharType="begin"/>
          </w:r>
          <w:r>
            <w:instrText xml:space="preserve"> PAGE  \* MERGEFORMAT </w:instrText>
          </w:r>
          <w:r>
            <w:fldChar w:fldCharType="separate"/>
          </w:r>
          <w:r w:rsidR="00835600">
            <w:rPr>
              <w:noProof/>
            </w:rPr>
            <w:t>2</w:t>
          </w:r>
          <w:r>
            <w:fldChar w:fldCharType="end"/>
          </w:r>
        </w:p>
      </w:tc>
    </w:tr>
  </w:tbl>
  <w:p w:rsidR="004219BE" w:rsidRDefault="00421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78" w:type="dxa"/>
      <w:tblLook w:val="01E0" w:firstRow="1" w:lastRow="1" w:firstColumn="1" w:lastColumn="1" w:noHBand="0" w:noVBand="0"/>
    </w:tblPr>
    <w:tblGrid>
      <w:gridCol w:w="3755"/>
      <w:gridCol w:w="5033"/>
    </w:tblGrid>
    <w:tr w:rsidR="00F50602" w:rsidRPr="004E2256" w:rsidTr="004E2256">
      <w:tc>
        <w:tcPr>
          <w:tcW w:w="3755" w:type="dxa"/>
          <w:shd w:val="clear" w:color="auto" w:fill="auto"/>
        </w:tcPr>
        <w:p w:rsidR="00F50602" w:rsidRPr="004E2256" w:rsidRDefault="008C3914" w:rsidP="004E2256">
          <w:pPr>
            <w:pStyle w:val="Footer"/>
            <w:bidi/>
            <w:spacing w:before="80" w:line="240" w:lineRule="auto"/>
            <w:jc w:val="right"/>
            <w:rPr>
              <w:b w:val="0"/>
              <w:w w:val="103"/>
              <w:sz w:val="20"/>
            </w:rPr>
          </w:pPr>
          <w:r>
            <w:rPr>
              <w:rFonts w:ascii="Unicode Symbols" w:eastAsia="Arial Unicode MS" w:hAnsi="Unicode Symbols" w:hint="cs"/>
              <w:b w:val="0"/>
              <w:bCs w:val="0"/>
              <w:noProof/>
              <w:sz w:val="22"/>
              <w:szCs w:val="2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1.75pt;margin-top:-70.75pt;width:55.9pt;height:55.9pt;z-index:251658240" o:preferrelative="f">
                <v:imagedata r:id="rId1" o:title="68&amp;Size =1"/>
              </v:shape>
            </w:pict>
          </w:r>
          <w:r w:rsidR="001659F1" w:rsidRPr="004E2256">
            <w:rPr>
              <w:rFonts w:ascii="Unicode Symbols" w:eastAsia="Arial Unicode MS" w:hAnsi="Unicode Symbols" w:hint="cs"/>
              <w:b w:val="0"/>
              <w:bCs w:val="0"/>
              <w:w w:val="104"/>
              <w:sz w:val="22"/>
              <w:szCs w:val="22"/>
              <w:rtl/>
            </w:rPr>
            <w:t>الرجاء إعادة الاستعمال</w:t>
          </w:r>
          <w:r w:rsidR="001659F1">
            <w:rPr>
              <w:rFonts w:ascii="Unicode Symbols" w:eastAsia="Arial Unicode MS" w:hAnsi="Unicode Symbols" w:hint="cs"/>
              <w:b w:val="0"/>
              <w:bCs w:val="0"/>
              <w:w w:val="104"/>
              <w:sz w:val="22"/>
              <w:szCs w:val="22"/>
            </w:rPr>
            <w:pict>
              <v:shape id="_x0000_i1026" type="#_x0000_t75" style="width:14.75pt;height:14.3pt">
                <v:imagedata r:id="rId2" o:title="recycle empty bold"/>
              </v:shape>
            </w:pict>
          </w:r>
        </w:p>
      </w:tc>
      <w:tc>
        <w:tcPr>
          <w:tcW w:w="5033" w:type="dxa"/>
          <w:shd w:val="clear" w:color="auto" w:fill="auto"/>
        </w:tcPr>
        <w:p w:rsidR="00F50602" w:rsidRPr="004E2256" w:rsidRDefault="008C3914" w:rsidP="004E2256">
          <w:pPr>
            <w:pStyle w:val="Footer"/>
            <w:bidi/>
            <w:spacing w:line="240" w:lineRule="auto"/>
            <w:rPr>
              <w:b w:val="0"/>
              <w:w w:val="103"/>
              <w:sz w:val="20"/>
            </w:rPr>
          </w:pPr>
          <w:r>
            <w:rPr>
              <w:b w:val="0"/>
              <w:w w:val="103"/>
              <w:sz w:val="20"/>
            </w:rPr>
            <w:t>16-21210 (A)</w:t>
          </w:r>
        </w:p>
        <w:p w:rsidR="00F50602" w:rsidRPr="008C3914" w:rsidRDefault="008C3914" w:rsidP="008C3914">
          <w:pPr>
            <w:pStyle w:val="Footer"/>
            <w:bidi/>
            <w:spacing w:before="80"/>
            <w:rPr>
              <w:rFonts w:ascii="Barcode 3 of 9 by request" w:hAnsi="Barcode 3 of 9 by request" w:cs="Times New Roman"/>
              <w:b w:val="0"/>
              <w:w w:val="103"/>
              <w:sz w:val="24"/>
              <w:rtl/>
              <w:lang w:bidi="ar-EG"/>
            </w:rPr>
          </w:pPr>
          <w:r>
            <w:rPr>
              <w:rFonts w:ascii="Barcode 3 of 9 by request" w:hAnsi="Barcode 3 of 9 by request" w:cs="Times New Roman"/>
              <w:noProof/>
              <w:sz w:val="24"/>
            </w:rPr>
            <w:t>*1621210*</w:t>
          </w:r>
        </w:p>
      </w:tc>
    </w:tr>
  </w:tbl>
  <w:p w:rsidR="00F50602" w:rsidRPr="00FF49FF" w:rsidRDefault="00F50602" w:rsidP="00F65774">
    <w:pPr>
      <w:pStyle w:val="Footer"/>
      <w:spacing w:before="80"/>
      <w:jc w:val="right"/>
      <w:rPr>
        <w:rFonts w:ascii="Barcode 3 of 9 by request" w:hAnsi="Barcode 3 of 9 by request" w:cs="Times New Roman"/>
        <w:noProof/>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BE" w:rsidRPr="005B0D67" w:rsidRDefault="004219BE" w:rsidP="005B0D67">
    <w:pPr>
      <w:pStyle w:val="Footer"/>
      <w:spacing w:before="240" w:line="240" w:lineRule="auto"/>
      <w:jc w:val="right"/>
      <w:rPr>
        <w:w w:val="103"/>
        <w:sz w:val="18"/>
        <w:szCs w:val="18"/>
      </w:rPr>
    </w:pPr>
    <w:r w:rsidRPr="005B0D67">
      <w:rPr>
        <w:rStyle w:val="PageNumber"/>
        <w:w w:val="103"/>
        <w:sz w:val="18"/>
        <w:szCs w:val="18"/>
      </w:rPr>
      <w:fldChar w:fldCharType="begin"/>
    </w:r>
    <w:r w:rsidRPr="005B0D67">
      <w:rPr>
        <w:rStyle w:val="PageNumber"/>
        <w:w w:val="103"/>
        <w:sz w:val="18"/>
        <w:szCs w:val="18"/>
      </w:rPr>
      <w:instrText xml:space="preserve"> PAGE </w:instrText>
    </w:r>
    <w:r w:rsidRPr="005B0D67">
      <w:rPr>
        <w:rStyle w:val="PageNumber"/>
        <w:w w:val="103"/>
        <w:sz w:val="18"/>
        <w:szCs w:val="18"/>
      </w:rPr>
      <w:fldChar w:fldCharType="separate"/>
    </w:r>
    <w:r w:rsidR="00835600">
      <w:rPr>
        <w:rStyle w:val="PageNumber"/>
        <w:noProof/>
        <w:w w:val="103"/>
        <w:sz w:val="18"/>
        <w:szCs w:val="18"/>
      </w:rPr>
      <w:t>2</w:t>
    </w:r>
    <w:r w:rsidRPr="005B0D67">
      <w:rPr>
        <w:rStyle w:val="PageNumber"/>
        <w:w w:val="103"/>
        <w:sz w:val="18"/>
        <w:szCs w:val="18"/>
      </w:rPr>
      <w:fldChar w:fldCharType="end"/>
    </w:r>
    <w:r w:rsidR="00745509" w:rsidRPr="00745509">
      <w:rPr>
        <w:rStyle w:val="PageNumber"/>
      </w:rPr>
      <w:t>/</w:t>
    </w:r>
    <w:r w:rsidR="00745509" w:rsidRPr="00745509">
      <w:rPr>
        <w:rStyle w:val="PageNumber"/>
        <w:w w:val="103"/>
        <w:sz w:val="18"/>
        <w:szCs w:val="18"/>
      </w:rPr>
      <w:fldChar w:fldCharType="begin"/>
    </w:r>
    <w:r w:rsidR="00745509" w:rsidRPr="00745509">
      <w:rPr>
        <w:rStyle w:val="PageNumber"/>
        <w:w w:val="103"/>
        <w:sz w:val="18"/>
        <w:szCs w:val="18"/>
      </w:rPr>
      <w:instrText xml:space="preserve"> NUMPAGES </w:instrText>
    </w:r>
    <w:r w:rsidR="00745509" w:rsidRPr="00745509">
      <w:rPr>
        <w:rStyle w:val="PageNumber"/>
        <w:w w:val="103"/>
        <w:sz w:val="18"/>
        <w:szCs w:val="18"/>
      </w:rPr>
      <w:fldChar w:fldCharType="separate"/>
    </w:r>
    <w:r w:rsidR="00835600">
      <w:rPr>
        <w:rStyle w:val="PageNumber"/>
        <w:noProof/>
        <w:w w:val="103"/>
        <w:sz w:val="18"/>
        <w:szCs w:val="18"/>
      </w:rPr>
      <w:t>2</w:t>
    </w:r>
    <w:r w:rsidR="00745509" w:rsidRPr="00745509">
      <w:rPr>
        <w:rStyle w:val="PageNumber"/>
        <w:w w:val="103"/>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BE" w:rsidRPr="005B0D67" w:rsidRDefault="004219BE" w:rsidP="005B0D67">
    <w:pPr>
      <w:pStyle w:val="Footer"/>
      <w:spacing w:before="240" w:line="240" w:lineRule="auto"/>
      <w:rPr>
        <w:w w:val="103"/>
        <w:sz w:val="18"/>
        <w:szCs w:val="18"/>
      </w:rPr>
    </w:pPr>
    <w:r w:rsidRPr="005B0D67">
      <w:rPr>
        <w:rStyle w:val="PageNumber"/>
        <w:w w:val="103"/>
        <w:sz w:val="18"/>
        <w:szCs w:val="18"/>
      </w:rPr>
      <w:fldChar w:fldCharType="begin"/>
    </w:r>
    <w:r w:rsidRPr="005B0D67">
      <w:rPr>
        <w:rStyle w:val="PageNumber"/>
        <w:w w:val="103"/>
        <w:sz w:val="18"/>
        <w:szCs w:val="18"/>
      </w:rPr>
      <w:instrText xml:space="preserve"> PAGE </w:instrText>
    </w:r>
    <w:r w:rsidRPr="005B0D67">
      <w:rPr>
        <w:rStyle w:val="PageNumber"/>
        <w:w w:val="103"/>
        <w:sz w:val="18"/>
        <w:szCs w:val="18"/>
      </w:rPr>
      <w:fldChar w:fldCharType="separate"/>
    </w:r>
    <w:r w:rsidR="00835600">
      <w:rPr>
        <w:rStyle w:val="PageNumber"/>
        <w:noProof/>
        <w:w w:val="103"/>
        <w:sz w:val="18"/>
        <w:szCs w:val="18"/>
      </w:rPr>
      <w:t>2</w:t>
    </w:r>
    <w:r w:rsidRPr="005B0D67">
      <w:rPr>
        <w:rStyle w:val="PageNumber"/>
        <w:w w:val="103"/>
        <w:sz w:val="18"/>
        <w:szCs w:val="18"/>
      </w:rPr>
      <w:fldChar w:fldCharType="end"/>
    </w:r>
    <w:r w:rsidR="00745509" w:rsidRPr="00745509">
      <w:rPr>
        <w:rStyle w:val="PageNumber"/>
      </w:rPr>
      <w:t>/</w:t>
    </w:r>
    <w:r w:rsidR="00745509" w:rsidRPr="00745509">
      <w:rPr>
        <w:rStyle w:val="PageNumber"/>
        <w:w w:val="103"/>
        <w:sz w:val="18"/>
        <w:szCs w:val="18"/>
      </w:rPr>
      <w:fldChar w:fldCharType="begin"/>
    </w:r>
    <w:r w:rsidR="00745509" w:rsidRPr="00745509">
      <w:rPr>
        <w:rStyle w:val="PageNumber"/>
        <w:w w:val="103"/>
        <w:sz w:val="18"/>
        <w:szCs w:val="18"/>
      </w:rPr>
      <w:instrText xml:space="preserve"> NUMPAGES </w:instrText>
    </w:r>
    <w:r w:rsidR="00745509" w:rsidRPr="00745509">
      <w:rPr>
        <w:rStyle w:val="PageNumber"/>
        <w:w w:val="103"/>
        <w:sz w:val="18"/>
        <w:szCs w:val="18"/>
      </w:rPr>
      <w:fldChar w:fldCharType="separate"/>
    </w:r>
    <w:r w:rsidR="00835600">
      <w:rPr>
        <w:rStyle w:val="PageNumber"/>
        <w:noProof/>
        <w:w w:val="103"/>
        <w:sz w:val="18"/>
        <w:szCs w:val="18"/>
      </w:rPr>
      <w:t>2</w:t>
    </w:r>
    <w:r w:rsidR="00745509" w:rsidRPr="00745509">
      <w:rPr>
        <w:rStyle w:val="PageNumber"/>
        <w:w w:val="10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51" w:rsidRPr="00237B42" w:rsidRDefault="001F4051" w:rsidP="00237B42">
      <w:pPr>
        <w:pStyle w:val="Footer"/>
        <w:bidi/>
        <w:spacing w:after="120"/>
        <w:ind w:left="1267" w:right="1267"/>
      </w:pPr>
      <w:r>
        <w:t>_______________</w:t>
      </w:r>
    </w:p>
  </w:footnote>
  <w:footnote w:type="continuationSeparator" w:id="0">
    <w:p w:rsidR="001F4051" w:rsidRPr="00237B42" w:rsidRDefault="001F4051">
      <w:pPr>
        <w:rPr>
          <w:highlight w:val="yellow"/>
        </w:rPr>
      </w:pPr>
      <w:r w:rsidRPr="00237B42">
        <w:rPr>
          <w:highlight w:val="yellow"/>
        </w:rPr>
        <w:continuationSeparator/>
      </w:r>
    </w:p>
  </w:footnote>
  <w:footnote w:id="1">
    <w:p w:rsidR="00237B42" w:rsidRPr="00237B42" w:rsidRDefault="00237B42" w:rsidP="00237B42">
      <w:pPr>
        <w:pStyle w:val="FootnoteText"/>
        <w:tabs>
          <w:tab w:val="clear" w:pos="418"/>
          <w:tab w:val="right" w:pos="1195"/>
          <w:tab w:val="left" w:pos="1267"/>
          <w:tab w:val="left" w:pos="1656"/>
          <w:tab w:val="left" w:pos="2088"/>
        </w:tabs>
        <w:spacing w:after="80"/>
        <w:ind w:left="1267" w:right="1267" w:firstLine="0"/>
        <w:rPr>
          <w:spacing w:val="0"/>
          <w:w w:val="100"/>
        </w:rPr>
      </w:pPr>
      <w:r w:rsidRPr="00237B42">
        <w:rPr>
          <w:spacing w:val="0"/>
          <w:w w:val="100"/>
          <w:rtl/>
        </w:rPr>
        <w:t>(</w:t>
      </w:r>
      <w:r w:rsidRPr="00237B42">
        <w:rPr>
          <w:rStyle w:val="FootnoteReference"/>
          <w:spacing w:val="0"/>
          <w:vertAlign w:val="baseline"/>
          <w:rtl/>
        </w:rPr>
        <w:footnoteRef/>
      </w:r>
      <w:r w:rsidRPr="00237B42">
        <w:rPr>
          <w:spacing w:val="0"/>
          <w:w w:val="100"/>
          <w:rtl/>
        </w:rPr>
        <w:t>) انظر القرار 67/234 باء</w:t>
      </w:r>
      <w:r w:rsidRPr="00237B42">
        <w:rPr>
          <w:rFonts w:hint="cs"/>
          <w:spacing w:val="0"/>
          <w:w w:val="1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BE" w:rsidRDefault="004219BE">
    <w:pPr>
      <w:pStyle w:val="Header"/>
    </w:pPr>
    <w:r>
      <w:rPr>
        <w:w w:val="100"/>
      </w:rPr>
      <w:pict>
        <v:shapetype id="_x0000_t202" coordsize="21600,21600" o:spt="202" path="m,l,21600r21600,l21600,xe">
          <v:stroke joinstyle="miter"/>
          <v:path gradientshapeok="t" o:connecttype="rect"/>
        </v:shapetype>
        <v:shape id="_x0000_s2049" type="#_x0000_t202" style="position:absolute;margin-left:54pt;margin-top:28.8pt;width:7in;height:50.4pt;z-index:251657216;mso-wrap-style:tight;mso-position-horizontal-relative:page;mso-position-vertical-relative:page" o:allowincell="f" stroked="f">
          <v:textbox style="mso-rotate-with-shape:t" inset="0,0,0,0">
            <w:txbxContent>
              <w:tbl>
                <w:tblPr>
                  <w:bidiVisual/>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4219BE">
                  <w:tblPrEx>
                    <w:tblCellMar>
                      <w:top w:w="0" w:type="dxa"/>
                      <w:left w:w="0" w:type="dxa"/>
                      <w:bottom w:w="0" w:type="dxa"/>
                      <w:right w:w="0" w:type="dxa"/>
                    </w:tblCellMar>
                  </w:tblPrEx>
                  <w:trPr>
                    <w:trHeight w:hRule="exact" w:val="864"/>
                  </w:trPr>
                  <w:tc>
                    <w:tcPr>
                      <w:tcW w:w="4838" w:type="dxa"/>
                      <w:vAlign w:val="bottom"/>
                    </w:tcPr>
                    <w:p w:rsidR="004219BE" w:rsidRDefault="004219BE">
                      <w:pPr>
                        <w:pStyle w:val="Header"/>
                        <w:rPr>
                          <w:rtl/>
                        </w:rPr>
                      </w:pPr>
                    </w:p>
                  </w:tc>
                  <w:tc>
                    <w:tcPr>
                      <w:tcW w:w="5047" w:type="dxa"/>
                      <w:vAlign w:val="bottom"/>
                    </w:tcPr>
                    <w:p w:rsidR="004219BE" w:rsidRDefault="004219BE">
                      <w:pPr>
                        <w:pStyle w:val="Header"/>
                        <w:spacing w:after="80"/>
                        <w:rPr>
                          <w:rtl/>
                        </w:rPr>
                      </w:pPr>
                      <w:r>
                        <w:t>A/RES/56/</w:t>
                      </w:r>
                    </w:p>
                  </w:tc>
                </w:tr>
              </w:tbl>
              <w:p w:rsidR="004219BE" w:rsidRDefault="004219BE">
                <w:pPr>
                  <w:rPr>
                    <w:rtl/>
                  </w:rPr>
                </w:pPr>
              </w:p>
            </w:txbxContent>
          </v:textbox>
          <w10:wrap type="topAndBottom"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5018"/>
      <w:gridCol w:w="22"/>
      <w:gridCol w:w="3308"/>
      <w:gridCol w:w="22"/>
    </w:tblGrid>
    <w:tr w:rsidR="004219BE" w:rsidRPr="00BC52FF">
      <w:tblPrEx>
        <w:tblCellMar>
          <w:top w:w="0" w:type="dxa"/>
          <w:left w:w="0" w:type="dxa"/>
          <w:bottom w:w="0" w:type="dxa"/>
          <w:right w:w="0" w:type="dxa"/>
        </w:tblCellMar>
      </w:tblPrEx>
      <w:trPr>
        <w:gridAfter w:val="1"/>
        <w:wAfter w:w="22" w:type="dxa"/>
        <w:cantSplit/>
        <w:trHeight w:hRule="exact" w:val="627"/>
        <w:jc w:val="right"/>
      </w:trPr>
      <w:tc>
        <w:tcPr>
          <w:tcW w:w="1440" w:type="dxa"/>
          <w:tcBorders>
            <w:top w:val="nil"/>
            <w:left w:val="nil"/>
            <w:bottom w:val="nil"/>
            <w:right w:val="nil"/>
          </w:tcBorders>
          <w:vAlign w:val="bottom"/>
        </w:tcPr>
        <w:p w:rsidR="004219BE" w:rsidRPr="00BC52FF" w:rsidRDefault="004219BE">
          <w:pPr>
            <w:pStyle w:val="Header"/>
            <w:spacing w:after="120"/>
            <w:rPr>
              <w:w w:val="103"/>
            </w:rPr>
          </w:pPr>
        </w:p>
      </w:tc>
      <w:tc>
        <w:tcPr>
          <w:tcW w:w="5018" w:type="dxa"/>
          <w:tcBorders>
            <w:top w:val="nil"/>
            <w:left w:val="nil"/>
            <w:bottom w:val="nil"/>
            <w:right w:val="nil"/>
          </w:tcBorders>
          <w:vAlign w:val="bottom"/>
        </w:tcPr>
        <w:p w:rsidR="004219BE" w:rsidRPr="00BC52FF" w:rsidRDefault="004219BE">
          <w:pPr>
            <w:pStyle w:val="HCh"/>
            <w:spacing w:after="80"/>
            <w:ind w:left="86"/>
            <w:jc w:val="left"/>
            <w:rPr>
              <w:b w:val="0"/>
              <w:bCs w:val="0"/>
              <w:spacing w:val="0"/>
              <w:szCs w:val="52"/>
            </w:rPr>
          </w:pPr>
          <w:r w:rsidRPr="00BC52FF">
            <w:rPr>
              <w:b w:val="0"/>
              <w:bCs w:val="0"/>
              <w:spacing w:val="0"/>
              <w:szCs w:val="52"/>
              <w:rtl/>
            </w:rPr>
            <w:t>الأمــم المتحـدة</w:t>
          </w:r>
        </w:p>
      </w:tc>
      <w:tc>
        <w:tcPr>
          <w:tcW w:w="3330" w:type="dxa"/>
          <w:gridSpan w:val="2"/>
          <w:tcBorders>
            <w:top w:val="nil"/>
            <w:left w:val="nil"/>
            <w:bottom w:val="nil"/>
            <w:right w:val="nil"/>
          </w:tcBorders>
          <w:vAlign w:val="bottom"/>
        </w:tcPr>
        <w:p w:rsidR="004219BE" w:rsidRPr="00BC52FF" w:rsidRDefault="004219BE" w:rsidP="008C3914">
          <w:pPr>
            <w:spacing w:line="380" w:lineRule="exact"/>
            <w:jc w:val="right"/>
            <w:rPr>
              <w:rFonts w:hint="cs"/>
              <w:rtl/>
              <w:lang w:bidi="ar-SY"/>
            </w:rPr>
          </w:pPr>
          <w:r w:rsidRPr="00BC52FF">
            <w:rPr>
              <w:sz w:val="40"/>
            </w:rPr>
            <w:t>A</w:t>
          </w:r>
          <w:r w:rsidRPr="00BC52FF">
            <w:t>/RES/</w:t>
          </w:r>
          <w:r w:rsidR="008C3914">
            <w:t>71/68</w:t>
          </w:r>
        </w:p>
      </w:tc>
    </w:tr>
    <w:tr w:rsidR="004219BE" w:rsidRPr="00BC52FF">
      <w:tblPrEx>
        <w:tblCellMar>
          <w:top w:w="0" w:type="dxa"/>
          <w:left w:w="0" w:type="dxa"/>
          <w:bottom w:w="0" w:type="dxa"/>
          <w:right w:w="0" w:type="dxa"/>
        </w:tblCellMar>
      </w:tblPrEx>
      <w:trPr>
        <w:cantSplit/>
        <w:trHeight w:hRule="exact" w:val="1572"/>
        <w:jc w:val="right"/>
      </w:trPr>
      <w:tc>
        <w:tcPr>
          <w:tcW w:w="1440" w:type="dxa"/>
          <w:tcBorders>
            <w:left w:val="nil"/>
            <w:bottom w:val="nil"/>
            <w:right w:val="nil"/>
          </w:tcBorders>
          <w:vAlign w:val="center"/>
        </w:tcPr>
        <w:p w:rsidR="004219BE" w:rsidRPr="00BC52FF" w:rsidRDefault="004219BE">
          <w:pPr>
            <w:pStyle w:val="Header"/>
            <w:spacing w:before="109"/>
            <w:rPr>
              <w:w w:val="103"/>
            </w:rPr>
          </w:pPr>
          <w:r w:rsidRPr="00BC52FF">
            <w:rPr>
              <w:w w:val="10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48.9pt" fillcolor="window">
                <v:imagedata r:id="rId1" o:title="_unlogo"/>
              </v:shape>
            </w:pict>
          </w:r>
        </w:p>
      </w:tc>
      <w:tc>
        <w:tcPr>
          <w:tcW w:w="5040" w:type="dxa"/>
          <w:gridSpan w:val="2"/>
          <w:tcBorders>
            <w:left w:val="nil"/>
            <w:bottom w:val="nil"/>
            <w:right w:val="nil"/>
          </w:tcBorders>
          <w:vAlign w:val="center"/>
        </w:tcPr>
        <w:p w:rsidR="004219BE" w:rsidRPr="00BC52FF" w:rsidRDefault="004219BE">
          <w:pPr>
            <w:pStyle w:val="XLarge"/>
            <w:spacing w:before="109" w:line="590" w:lineRule="exact"/>
            <w:ind w:left="14"/>
            <w:rPr>
              <w:spacing w:val="0"/>
              <w:w w:val="103"/>
              <w:sz w:val="72"/>
              <w:szCs w:val="80"/>
            </w:rPr>
          </w:pPr>
          <w:r w:rsidRPr="00BC52FF">
            <w:rPr>
              <w:spacing w:val="0"/>
              <w:w w:val="103"/>
              <w:sz w:val="72"/>
              <w:szCs w:val="80"/>
              <w:rtl/>
            </w:rPr>
            <w:t>الجمعية العامة</w:t>
          </w:r>
        </w:p>
      </w:tc>
      <w:tc>
        <w:tcPr>
          <w:tcW w:w="3330" w:type="dxa"/>
          <w:gridSpan w:val="2"/>
          <w:tcBorders>
            <w:left w:val="nil"/>
            <w:bottom w:val="nil"/>
            <w:right w:val="nil"/>
          </w:tcBorders>
          <w:vAlign w:val="center"/>
        </w:tcPr>
        <w:p w:rsidR="004219BE" w:rsidRDefault="004219BE" w:rsidP="002B48B9">
          <w:pPr>
            <w:bidi w:val="0"/>
            <w:spacing w:line="240" w:lineRule="auto"/>
            <w:jc w:val="left"/>
          </w:pPr>
          <w:r w:rsidRPr="00BC52FF">
            <w:t>Distr.: General</w:t>
          </w:r>
        </w:p>
        <w:p w:rsidR="00E2129F" w:rsidRPr="00BC52FF" w:rsidRDefault="004B72C7" w:rsidP="00036337">
          <w:pPr>
            <w:bidi w:val="0"/>
            <w:spacing w:line="240" w:lineRule="auto"/>
            <w:jc w:val="left"/>
          </w:pPr>
          <w:r>
            <w:t xml:space="preserve">14 December </w:t>
          </w:r>
          <w:r w:rsidR="00C4297E">
            <w:t>2016</w:t>
          </w:r>
        </w:p>
        <w:p w:rsidR="004219BE" w:rsidRPr="00BC52FF" w:rsidRDefault="004219BE">
          <w:pPr>
            <w:bidi w:val="0"/>
            <w:spacing w:line="240" w:lineRule="auto"/>
            <w:jc w:val="right"/>
          </w:pPr>
        </w:p>
        <w:p w:rsidR="004219BE" w:rsidRPr="00BC52FF" w:rsidRDefault="004219BE">
          <w:pPr>
            <w:pStyle w:val="H56"/>
            <w:keepNext w:val="0"/>
            <w:keepLines w:val="0"/>
            <w:suppressAutoHyphens w:val="0"/>
            <w:bidi w:val="0"/>
            <w:spacing w:line="240" w:lineRule="auto"/>
            <w:jc w:val="right"/>
            <w:outlineLvl w:val="9"/>
            <w:rPr>
              <w:sz w:val="40"/>
            </w:rPr>
          </w:pPr>
        </w:p>
      </w:tc>
    </w:tr>
    <w:tr w:rsidR="004219BE" w:rsidRPr="00BC52FF">
      <w:tblPrEx>
        <w:tblCellMar>
          <w:top w:w="0" w:type="dxa"/>
          <w:left w:w="0" w:type="dxa"/>
          <w:bottom w:w="0" w:type="dxa"/>
          <w:right w:w="0" w:type="dxa"/>
        </w:tblCellMar>
      </w:tblPrEx>
      <w:trPr>
        <w:cantSplit/>
        <w:trHeight w:hRule="exact" w:val="828"/>
        <w:jc w:val="right"/>
      </w:trPr>
      <w:tc>
        <w:tcPr>
          <w:tcW w:w="9810" w:type="dxa"/>
          <w:gridSpan w:val="5"/>
          <w:tcBorders>
            <w:top w:val="single" w:sz="12" w:space="0" w:color="auto"/>
            <w:left w:val="nil"/>
            <w:bottom w:val="nil"/>
            <w:right w:val="nil"/>
          </w:tcBorders>
        </w:tcPr>
        <w:p w:rsidR="004219BE" w:rsidRPr="00BC52FF" w:rsidRDefault="004219BE" w:rsidP="001659F1">
          <w:pPr>
            <w:pStyle w:val="Header"/>
            <w:bidi/>
            <w:spacing w:before="240" w:after="120" w:line="120" w:lineRule="exact"/>
            <w:rPr>
              <w:w w:val="103"/>
              <w:sz w:val="12"/>
              <w:szCs w:val="32"/>
              <w:rtl/>
            </w:rPr>
          </w:pPr>
          <w:r w:rsidRPr="00BC52FF">
            <w:rPr>
              <w:w w:val="103"/>
              <w:szCs w:val="32"/>
              <w:rtl/>
            </w:rPr>
            <w:t xml:space="preserve">الدورة </w:t>
          </w:r>
          <w:r w:rsidR="007C1FE6">
            <w:rPr>
              <w:rFonts w:hint="cs"/>
              <w:w w:val="103"/>
              <w:szCs w:val="32"/>
              <w:rtl/>
              <w:lang w:bidi="ar-SY"/>
            </w:rPr>
            <w:t>الحادية و</w:t>
          </w:r>
          <w:r w:rsidR="001659F1">
            <w:rPr>
              <w:rFonts w:hint="cs"/>
              <w:w w:val="103"/>
              <w:szCs w:val="32"/>
              <w:rtl/>
            </w:rPr>
            <w:t>السبعون</w:t>
          </w:r>
        </w:p>
        <w:p w:rsidR="004219BE" w:rsidRPr="00C73A51" w:rsidRDefault="004219BE" w:rsidP="00C73A51">
          <w:pPr>
            <w:bidi w:val="0"/>
            <w:spacing w:after="120" w:line="240" w:lineRule="exact"/>
            <w:jc w:val="right"/>
          </w:pPr>
          <w:r w:rsidRPr="00C73A51">
            <w:rPr>
              <w:szCs w:val="32"/>
              <w:rtl/>
            </w:rPr>
            <w:t xml:space="preserve">البند </w:t>
          </w:r>
          <w:r w:rsidR="008C3914">
            <w:rPr>
              <w:szCs w:val="32"/>
              <w:rtl/>
            </w:rPr>
            <w:t>98</w:t>
          </w:r>
          <w:r w:rsidRPr="00C73A51">
            <w:rPr>
              <w:szCs w:val="32"/>
              <w:rtl/>
            </w:rPr>
            <w:t xml:space="preserve"> من جدول الأعمال</w:t>
          </w:r>
        </w:p>
      </w:tc>
    </w:tr>
  </w:tbl>
  <w:p w:rsidR="004219BE" w:rsidRPr="00BC52FF" w:rsidRDefault="004219BE">
    <w:pPr>
      <w:pStyle w:val="Header"/>
      <w:rPr>
        <w:w w:val="10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650"/>
      <w:gridCol w:w="2232"/>
    </w:tblGrid>
    <w:tr w:rsidR="00745509" w:rsidRPr="00012AF3" w:rsidTr="00237B42">
      <w:trPr>
        <w:trHeight w:val="720"/>
      </w:trPr>
      <w:tc>
        <w:tcPr>
          <w:tcW w:w="7650" w:type="dxa"/>
          <w:shd w:val="clear" w:color="auto" w:fill="auto"/>
          <w:vAlign w:val="bottom"/>
        </w:tcPr>
        <w:p w:rsidR="00745509" w:rsidRPr="004E2256" w:rsidRDefault="00237B42" w:rsidP="004E2256">
          <w:pPr>
            <w:tabs>
              <w:tab w:val="center" w:pos="4320"/>
              <w:tab w:val="right" w:pos="8640"/>
            </w:tabs>
            <w:spacing w:after="40" w:line="300" w:lineRule="exact"/>
            <w:jc w:val="right"/>
            <w:rPr>
              <w:rFonts w:ascii="Times New Roman Bold" w:eastAsia="SimSun" w:hAnsi="Times New Roman Bold" w:hint="cs"/>
              <w:b/>
              <w:bCs/>
              <w:w w:val="100"/>
              <w:kern w:val="0"/>
              <w:sz w:val="17"/>
              <w:szCs w:val="26"/>
              <w:rtl/>
              <w:lang w:bidi="ar-EG"/>
            </w:rPr>
          </w:pPr>
          <w:r w:rsidRPr="00237B42">
            <w:rPr>
              <w:rFonts w:ascii="Times New Roman Bold" w:eastAsia="SimSun" w:hAnsi="Times New Roman Bold"/>
              <w:b/>
              <w:bCs/>
              <w:w w:val="100"/>
              <w:kern w:val="0"/>
              <w:sz w:val="17"/>
              <w:szCs w:val="26"/>
              <w:rtl/>
              <w:lang w:bidi="ar-EG"/>
            </w:rPr>
            <w:t>التشريعات الوطنية المتعلقة بنقل الأسلحة والمعدات العسكرية والسلع والتكنولوجيا ذات الاستخدام المزدوج</w:t>
          </w:r>
        </w:p>
      </w:tc>
      <w:tc>
        <w:tcPr>
          <w:tcW w:w="2232" w:type="dxa"/>
          <w:shd w:val="clear" w:color="auto" w:fill="auto"/>
          <w:vAlign w:val="bottom"/>
        </w:tcPr>
        <w:p w:rsidR="00745509" w:rsidRPr="00012AF3" w:rsidRDefault="00745509" w:rsidP="008C3914">
          <w:pPr>
            <w:pStyle w:val="Header"/>
            <w:bidi/>
            <w:spacing w:line="300" w:lineRule="exact"/>
            <w:rPr>
              <w:rFonts w:hint="cs"/>
              <w:rtl/>
              <w:lang w:bidi="ar-EG"/>
            </w:rPr>
          </w:pPr>
          <w:r w:rsidRPr="00012AF3">
            <w:t>A/RES/</w:t>
          </w:r>
          <w:r w:rsidR="008C3914">
            <w:t>71/68</w:t>
          </w:r>
        </w:p>
      </w:tc>
    </w:tr>
  </w:tbl>
  <w:p w:rsidR="004219BE" w:rsidRPr="00745509" w:rsidRDefault="004219BE" w:rsidP="007455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1980"/>
      <w:gridCol w:w="7870"/>
    </w:tblGrid>
    <w:tr w:rsidR="00745509" w:rsidRPr="004E2256" w:rsidTr="00237B42">
      <w:trPr>
        <w:trHeight w:val="720"/>
      </w:trPr>
      <w:tc>
        <w:tcPr>
          <w:tcW w:w="1980" w:type="dxa"/>
          <w:shd w:val="clear" w:color="auto" w:fill="auto"/>
          <w:vAlign w:val="bottom"/>
        </w:tcPr>
        <w:p w:rsidR="00745509" w:rsidRPr="004E2256" w:rsidRDefault="00745509" w:rsidP="008C3914">
          <w:pPr>
            <w:tabs>
              <w:tab w:val="center" w:pos="4320"/>
              <w:tab w:val="right" w:pos="8640"/>
            </w:tabs>
            <w:bidi w:val="0"/>
            <w:spacing w:line="240" w:lineRule="auto"/>
            <w:jc w:val="left"/>
            <w:rPr>
              <w:rFonts w:eastAsia="SimSun" w:cs="Times New Roman"/>
              <w:b/>
              <w:bCs/>
              <w:w w:val="105"/>
              <w:kern w:val="0"/>
              <w:sz w:val="17"/>
              <w:szCs w:val="25"/>
            </w:rPr>
          </w:pPr>
          <w:r w:rsidRPr="004E2256">
            <w:rPr>
              <w:rFonts w:eastAsia="SimSun" w:cs="Times New Roman"/>
              <w:b/>
              <w:bCs/>
              <w:w w:val="105"/>
              <w:kern w:val="0"/>
              <w:sz w:val="17"/>
              <w:szCs w:val="25"/>
            </w:rPr>
            <w:t>A/RES/</w:t>
          </w:r>
          <w:r w:rsidR="008C3914">
            <w:rPr>
              <w:rFonts w:eastAsia="SimSun" w:cs="Times New Roman"/>
              <w:b/>
              <w:bCs/>
              <w:w w:val="105"/>
              <w:kern w:val="0"/>
              <w:sz w:val="17"/>
              <w:szCs w:val="25"/>
            </w:rPr>
            <w:t>71/68</w:t>
          </w:r>
        </w:p>
      </w:tc>
      <w:tc>
        <w:tcPr>
          <w:tcW w:w="7870" w:type="dxa"/>
          <w:shd w:val="clear" w:color="auto" w:fill="auto"/>
          <w:vAlign w:val="bottom"/>
        </w:tcPr>
        <w:p w:rsidR="00745509" w:rsidRPr="004E2256" w:rsidRDefault="00237B42" w:rsidP="004E2256">
          <w:pPr>
            <w:tabs>
              <w:tab w:val="center" w:pos="4320"/>
              <w:tab w:val="right" w:pos="8640"/>
            </w:tabs>
            <w:spacing w:after="40" w:line="300" w:lineRule="exact"/>
            <w:rPr>
              <w:rFonts w:ascii="Times New Roman Bold" w:eastAsia="SimSun" w:hAnsi="Times New Roman Bold" w:hint="cs"/>
              <w:b/>
              <w:bCs/>
              <w:w w:val="100"/>
              <w:kern w:val="0"/>
              <w:sz w:val="17"/>
              <w:szCs w:val="26"/>
              <w:rtl/>
              <w:lang w:bidi="ar-EG"/>
            </w:rPr>
          </w:pPr>
          <w:r w:rsidRPr="00237B42">
            <w:rPr>
              <w:rFonts w:ascii="Times New Roman Bold" w:eastAsia="SimSun" w:hAnsi="Times New Roman Bold"/>
              <w:b/>
              <w:bCs/>
              <w:w w:val="100"/>
              <w:kern w:val="0"/>
              <w:sz w:val="17"/>
              <w:szCs w:val="26"/>
              <w:rtl/>
              <w:lang w:bidi="ar-EG"/>
            </w:rPr>
            <w:t>التشريعات الوطنية المتعلقة بنقل الأسلحة والمعدات العسكرية والسلع والتكنولوجيا ذات الاستخدام المزدوج</w:t>
          </w:r>
        </w:p>
      </w:tc>
    </w:tr>
  </w:tbl>
  <w:p w:rsidR="004219BE" w:rsidRPr="00745509" w:rsidRDefault="004219BE" w:rsidP="00745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576"/>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621210*"/>
    <w:docVar w:name="jobn" w:val="16-21210 (A)"/>
    <w:docVar w:name="JobNo" w:val="1621210A"/>
    <w:docVar w:name="ODSRefJobNo" w:val="1642233A"/>
    <w:docVar w:name="sss1" w:val="A/RES/71/68"/>
    <w:docVar w:name="sss2" w:val="-"/>
  </w:docVars>
  <w:rsids>
    <w:rsidRoot w:val="008C3914"/>
    <w:rsid w:val="0000600A"/>
    <w:rsid w:val="00026866"/>
    <w:rsid w:val="00027823"/>
    <w:rsid w:val="00036337"/>
    <w:rsid w:val="000600C7"/>
    <w:rsid w:val="0006247F"/>
    <w:rsid w:val="00067358"/>
    <w:rsid w:val="000A1B1C"/>
    <w:rsid w:val="000B1CE2"/>
    <w:rsid w:val="000B6142"/>
    <w:rsid w:val="000D5CD2"/>
    <w:rsid w:val="000E1F3A"/>
    <w:rsid w:val="000F33FA"/>
    <w:rsid w:val="001052CD"/>
    <w:rsid w:val="00107174"/>
    <w:rsid w:val="0012254C"/>
    <w:rsid w:val="00123F28"/>
    <w:rsid w:val="001253D9"/>
    <w:rsid w:val="00125F80"/>
    <w:rsid w:val="0014716C"/>
    <w:rsid w:val="001519E1"/>
    <w:rsid w:val="00156823"/>
    <w:rsid w:val="0016451C"/>
    <w:rsid w:val="001659F1"/>
    <w:rsid w:val="00166295"/>
    <w:rsid w:val="00167CAE"/>
    <w:rsid w:val="00191C90"/>
    <w:rsid w:val="00191DBB"/>
    <w:rsid w:val="00193D53"/>
    <w:rsid w:val="001B039A"/>
    <w:rsid w:val="001B6977"/>
    <w:rsid w:val="001E1BB7"/>
    <w:rsid w:val="001E47D6"/>
    <w:rsid w:val="001E7F51"/>
    <w:rsid w:val="001F4051"/>
    <w:rsid w:val="0021038C"/>
    <w:rsid w:val="00210A3B"/>
    <w:rsid w:val="002119AE"/>
    <w:rsid w:val="00214AB3"/>
    <w:rsid w:val="002247CB"/>
    <w:rsid w:val="00226F80"/>
    <w:rsid w:val="0023056D"/>
    <w:rsid w:val="0023349D"/>
    <w:rsid w:val="00237B42"/>
    <w:rsid w:val="0024091E"/>
    <w:rsid w:val="0024743F"/>
    <w:rsid w:val="002534C7"/>
    <w:rsid w:val="00277B6C"/>
    <w:rsid w:val="0028542F"/>
    <w:rsid w:val="002901D0"/>
    <w:rsid w:val="0029125B"/>
    <w:rsid w:val="00291EF7"/>
    <w:rsid w:val="00295128"/>
    <w:rsid w:val="002971A1"/>
    <w:rsid w:val="002B48B9"/>
    <w:rsid w:val="002B4F9D"/>
    <w:rsid w:val="002B5FF7"/>
    <w:rsid w:val="002C740E"/>
    <w:rsid w:val="002D130F"/>
    <w:rsid w:val="00302C08"/>
    <w:rsid w:val="0032513C"/>
    <w:rsid w:val="003508D0"/>
    <w:rsid w:val="00357C3F"/>
    <w:rsid w:val="00363FFA"/>
    <w:rsid w:val="003828C4"/>
    <w:rsid w:val="003A05A4"/>
    <w:rsid w:val="003A0A83"/>
    <w:rsid w:val="003A4CA7"/>
    <w:rsid w:val="003D0D13"/>
    <w:rsid w:val="003D3722"/>
    <w:rsid w:val="003D69F4"/>
    <w:rsid w:val="003E1FA0"/>
    <w:rsid w:val="003F0430"/>
    <w:rsid w:val="003F37F5"/>
    <w:rsid w:val="003F40D7"/>
    <w:rsid w:val="00411029"/>
    <w:rsid w:val="004219BE"/>
    <w:rsid w:val="00422501"/>
    <w:rsid w:val="00436D6A"/>
    <w:rsid w:val="00477CC9"/>
    <w:rsid w:val="0048406C"/>
    <w:rsid w:val="0049121C"/>
    <w:rsid w:val="00492183"/>
    <w:rsid w:val="0049250F"/>
    <w:rsid w:val="00492D8F"/>
    <w:rsid w:val="0049378E"/>
    <w:rsid w:val="004A2BCE"/>
    <w:rsid w:val="004B5F75"/>
    <w:rsid w:val="004B72C7"/>
    <w:rsid w:val="004C0411"/>
    <w:rsid w:val="004C1D02"/>
    <w:rsid w:val="004E2256"/>
    <w:rsid w:val="004F06C6"/>
    <w:rsid w:val="004F300F"/>
    <w:rsid w:val="004F7A2A"/>
    <w:rsid w:val="005067F3"/>
    <w:rsid w:val="005148BE"/>
    <w:rsid w:val="00517988"/>
    <w:rsid w:val="0052672F"/>
    <w:rsid w:val="00545001"/>
    <w:rsid w:val="00545DC3"/>
    <w:rsid w:val="005460C3"/>
    <w:rsid w:val="00546396"/>
    <w:rsid w:val="00552C9E"/>
    <w:rsid w:val="0055692F"/>
    <w:rsid w:val="00557A86"/>
    <w:rsid w:val="00560FBC"/>
    <w:rsid w:val="0056151B"/>
    <w:rsid w:val="00567937"/>
    <w:rsid w:val="0057204B"/>
    <w:rsid w:val="005732A6"/>
    <w:rsid w:val="00573413"/>
    <w:rsid w:val="0057436B"/>
    <w:rsid w:val="005A630E"/>
    <w:rsid w:val="005B0D67"/>
    <w:rsid w:val="005B7A3D"/>
    <w:rsid w:val="005E4226"/>
    <w:rsid w:val="005E4479"/>
    <w:rsid w:val="005F5BA9"/>
    <w:rsid w:val="006239F3"/>
    <w:rsid w:val="006240A4"/>
    <w:rsid w:val="00634525"/>
    <w:rsid w:val="00636044"/>
    <w:rsid w:val="006521A5"/>
    <w:rsid w:val="0066062D"/>
    <w:rsid w:val="006660C5"/>
    <w:rsid w:val="00685FB7"/>
    <w:rsid w:val="00694CEE"/>
    <w:rsid w:val="00697D18"/>
    <w:rsid w:val="006A3BCB"/>
    <w:rsid w:val="006B1FCE"/>
    <w:rsid w:val="006C0026"/>
    <w:rsid w:val="006D6315"/>
    <w:rsid w:val="006E4449"/>
    <w:rsid w:val="00715BC6"/>
    <w:rsid w:val="007319E5"/>
    <w:rsid w:val="00742B70"/>
    <w:rsid w:val="00745509"/>
    <w:rsid w:val="007461E8"/>
    <w:rsid w:val="00762529"/>
    <w:rsid w:val="00773BF9"/>
    <w:rsid w:val="00775656"/>
    <w:rsid w:val="0079484B"/>
    <w:rsid w:val="00795A98"/>
    <w:rsid w:val="007A5A38"/>
    <w:rsid w:val="007B7C9A"/>
    <w:rsid w:val="007C1FE6"/>
    <w:rsid w:val="007D5186"/>
    <w:rsid w:val="007E4C44"/>
    <w:rsid w:val="007E4EE0"/>
    <w:rsid w:val="007F6402"/>
    <w:rsid w:val="0081126C"/>
    <w:rsid w:val="00814ABE"/>
    <w:rsid w:val="008310DF"/>
    <w:rsid w:val="008355ED"/>
    <w:rsid w:val="00835600"/>
    <w:rsid w:val="00835F1C"/>
    <w:rsid w:val="00837276"/>
    <w:rsid w:val="00854C45"/>
    <w:rsid w:val="00880C80"/>
    <w:rsid w:val="00883DC0"/>
    <w:rsid w:val="008A15AB"/>
    <w:rsid w:val="008B2360"/>
    <w:rsid w:val="008C3914"/>
    <w:rsid w:val="008C63AE"/>
    <w:rsid w:val="008C6A45"/>
    <w:rsid w:val="008D0FA2"/>
    <w:rsid w:val="008D2028"/>
    <w:rsid w:val="008D3CF6"/>
    <w:rsid w:val="008E7C58"/>
    <w:rsid w:val="009102E9"/>
    <w:rsid w:val="0093034A"/>
    <w:rsid w:val="009371EB"/>
    <w:rsid w:val="009513F0"/>
    <w:rsid w:val="00963E22"/>
    <w:rsid w:val="00966287"/>
    <w:rsid w:val="00970BD1"/>
    <w:rsid w:val="009922CE"/>
    <w:rsid w:val="00992CF6"/>
    <w:rsid w:val="009A02AF"/>
    <w:rsid w:val="009A5A99"/>
    <w:rsid w:val="009C3DDF"/>
    <w:rsid w:val="009D2B35"/>
    <w:rsid w:val="009D61D5"/>
    <w:rsid w:val="009E3C61"/>
    <w:rsid w:val="009F1465"/>
    <w:rsid w:val="009F7C91"/>
    <w:rsid w:val="00A05E7F"/>
    <w:rsid w:val="00A06E05"/>
    <w:rsid w:val="00A1603E"/>
    <w:rsid w:val="00A51AFE"/>
    <w:rsid w:val="00A5550F"/>
    <w:rsid w:val="00A6296E"/>
    <w:rsid w:val="00A7336E"/>
    <w:rsid w:val="00A84980"/>
    <w:rsid w:val="00A927E0"/>
    <w:rsid w:val="00AA4E48"/>
    <w:rsid w:val="00AB70C0"/>
    <w:rsid w:val="00AC142B"/>
    <w:rsid w:val="00AC489E"/>
    <w:rsid w:val="00AD256F"/>
    <w:rsid w:val="00AD4F4D"/>
    <w:rsid w:val="00AD630A"/>
    <w:rsid w:val="00AE0102"/>
    <w:rsid w:val="00AE02D0"/>
    <w:rsid w:val="00AE1FB9"/>
    <w:rsid w:val="00AE2BB2"/>
    <w:rsid w:val="00AE515B"/>
    <w:rsid w:val="00AE5D7E"/>
    <w:rsid w:val="00B1471A"/>
    <w:rsid w:val="00B23E1E"/>
    <w:rsid w:val="00B2462A"/>
    <w:rsid w:val="00B441F5"/>
    <w:rsid w:val="00B4460F"/>
    <w:rsid w:val="00B7312C"/>
    <w:rsid w:val="00B90E7E"/>
    <w:rsid w:val="00BB18EE"/>
    <w:rsid w:val="00BB1D79"/>
    <w:rsid w:val="00BB3083"/>
    <w:rsid w:val="00BC0C06"/>
    <w:rsid w:val="00BC52FF"/>
    <w:rsid w:val="00BD553C"/>
    <w:rsid w:val="00BE4D80"/>
    <w:rsid w:val="00C05A7A"/>
    <w:rsid w:val="00C334D9"/>
    <w:rsid w:val="00C4297E"/>
    <w:rsid w:val="00C56250"/>
    <w:rsid w:val="00C73A51"/>
    <w:rsid w:val="00C84DDE"/>
    <w:rsid w:val="00CB0B61"/>
    <w:rsid w:val="00CB4DA2"/>
    <w:rsid w:val="00CC4178"/>
    <w:rsid w:val="00CD20B4"/>
    <w:rsid w:val="00CF45A4"/>
    <w:rsid w:val="00CF5539"/>
    <w:rsid w:val="00D01587"/>
    <w:rsid w:val="00D034B2"/>
    <w:rsid w:val="00D25A61"/>
    <w:rsid w:val="00D27D47"/>
    <w:rsid w:val="00D36D8E"/>
    <w:rsid w:val="00D75B94"/>
    <w:rsid w:val="00D85A8B"/>
    <w:rsid w:val="00DA4C26"/>
    <w:rsid w:val="00DC6B84"/>
    <w:rsid w:val="00DC6EAF"/>
    <w:rsid w:val="00DE6CBD"/>
    <w:rsid w:val="00E0761A"/>
    <w:rsid w:val="00E2129F"/>
    <w:rsid w:val="00E302A5"/>
    <w:rsid w:val="00E375FF"/>
    <w:rsid w:val="00E501A9"/>
    <w:rsid w:val="00E7459D"/>
    <w:rsid w:val="00E80384"/>
    <w:rsid w:val="00E90D28"/>
    <w:rsid w:val="00EB06D7"/>
    <w:rsid w:val="00EB1025"/>
    <w:rsid w:val="00F0566F"/>
    <w:rsid w:val="00F2138E"/>
    <w:rsid w:val="00F23AA8"/>
    <w:rsid w:val="00F50602"/>
    <w:rsid w:val="00F65774"/>
    <w:rsid w:val="00F713FB"/>
    <w:rsid w:val="00F74621"/>
    <w:rsid w:val="00F93E38"/>
    <w:rsid w:val="00F9730B"/>
    <w:rsid w:val="00FB187E"/>
    <w:rsid w:val="00FD191A"/>
    <w:rsid w:val="00FD2808"/>
    <w:rsid w:val="00FE1ADA"/>
    <w:rsid w:val="00FE7D67"/>
    <w:rsid w:val="00FF4342"/>
    <w:rsid w:val="00FF49FF"/>
    <w:rsid w:val="00FF61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line="400" w:lineRule="exact"/>
      <w:jc w:val="lowKashida"/>
    </w:pPr>
    <w:rPr>
      <w:w w:val="103"/>
      <w:kern w:val="14"/>
      <w:szCs w:val="30"/>
      <w:lang w:eastAsia="en-US"/>
    </w:rPr>
  </w:style>
  <w:style w:type="paragraph" w:styleId="Heading2">
    <w:name w:val="heading 2"/>
    <w:basedOn w:val="Normal"/>
    <w:next w:val="Normal"/>
    <w:qFormat/>
    <w:pPr>
      <w:keepNext/>
      <w:spacing w:line="360" w:lineRule="exact"/>
      <w:outlineLvl w:val="1"/>
    </w:pPr>
    <w:rPr>
      <w:b/>
      <w:bCs/>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aliases w:val="Char,Texto nota pie Car,FA Fu,Footnote Text Char Char Char Char Char,Footnote Text Char Char Char Char,Footnote reference,Footnote Text Char Char Char,texto de nota al pie,5_G,Footnote Text Char1,Footnote Text Char Char,Footnote Text1 Char"/>
    <w:basedOn w:val="Normal"/>
    <w:link w:val="FootnoteTextChar"/>
    <w:qFormat/>
    <w:pPr>
      <w:tabs>
        <w:tab w:val="right" w:pos="418"/>
      </w:tabs>
      <w:spacing w:line="300" w:lineRule="exact"/>
      <w:ind w:right="662" w:hanging="662"/>
    </w:pPr>
    <w:rPr>
      <w:spacing w:val="5"/>
      <w:w w:val="104"/>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pPr>
      <w:tabs>
        <w:tab w:val="center" w:pos="4320"/>
        <w:tab w:val="right" w:pos="8640"/>
      </w:tabs>
      <w:spacing w:line="210" w:lineRule="exact"/>
    </w:pPr>
    <w:rPr>
      <w:b/>
      <w:bCs/>
      <w:sz w:val="17"/>
      <w:szCs w:val="25"/>
      <w:lang w:eastAsia="en-US"/>
    </w:rPr>
  </w:style>
  <w:style w:type="character" w:styleId="FootnoteReference">
    <w:name w:val="footnote reference"/>
    <w:aliases w:val="4_G,ftref,16 Point,Superscript 6 Point,(Ref. de nota al pie)"/>
    <w:rPr>
      <w:spacing w:val="-5"/>
      <w:w w:val="100"/>
      <w:position w:val="0"/>
      <w:vertAlign w:val="superscript"/>
    </w:rPr>
  </w:style>
  <w:style w:type="paragraph" w:styleId="Header">
    <w:name w:val="header"/>
    <w:pPr>
      <w:tabs>
        <w:tab w:val="center" w:pos="4320"/>
        <w:tab w:val="right" w:pos="8640"/>
      </w:tabs>
    </w:pPr>
    <w:rPr>
      <w:b/>
      <w:bCs/>
      <w:w w:val="105"/>
      <w:sz w:val="17"/>
      <w:szCs w:val="25"/>
      <w:lang w:eastAsia="en-US"/>
    </w:rPr>
  </w:style>
  <w:style w:type="character" w:styleId="LineNumber">
    <w:name w:val="line number"/>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paragraph" w:styleId="CommentText">
    <w:name w:val="annotation text"/>
    <w:basedOn w:val="Normal"/>
    <w:link w:val="CommentTextChar"/>
    <w:semiHidden/>
    <w:rPr>
      <w:szCs w:val="24"/>
    </w:rPr>
  </w:style>
  <w:style w:type="paragraph" w:styleId="BalloonText">
    <w:name w:val="Balloon Text"/>
    <w:basedOn w:val="Normal"/>
    <w:semiHidden/>
    <w:rsid w:val="002B48B9"/>
    <w:rPr>
      <w:rFonts w:ascii="Tahoma" w:hAnsi="Tahoma" w:cs="Tahoma"/>
      <w:sz w:val="16"/>
      <w:szCs w:val="16"/>
    </w:rPr>
  </w:style>
  <w:style w:type="character" w:styleId="PageNumber">
    <w:name w:val="page number"/>
    <w:basedOn w:val="DefaultParagraphFont"/>
    <w:rsid w:val="00CC4178"/>
  </w:style>
  <w:style w:type="paragraph" w:customStyle="1" w:styleId="a">
    <w:name w:val="وسطي ستايل"/>
    <w:basedOn w:val="H23"/>
    <w:rsid w:val="00795A98"/>
    <w:pPr>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1267" w:right="1267"/>
      <w:jc w:val="center"/>
    </w:pPr>
  </w:style>
  <w:style w:type="paragraph" w:customStyle="1" w:styleId="StyleAfter6pt">
    <w:name w:val="Style عنوان وسطي + After:  6 pt"/>
    <w:basedOn w:val="Normal"/>
    <w:rsid w:val="003F0430"/>
    <w:pPr>
      <w:keepNext/>
      <w:spacing w:after="120"/>
      <w:jc w:val="center"/>
    </w:pPr>
    <w:rPr>
      <w:b/>
      <w:bCs/>
    </w:rPr>
  </w:style>
  <w:style w:type="paragraph" w:customStyle="1" w:styleId="a0">
    <w:name w:val="عنوان جاني"/>
    <w:basedOn w:val="Normal"/>
    <w:rsid w:val="003F0430"/>
    <w:pPr>
      <w:keepNext/>
      <w:tabs>
        <w:tab w:val="left" w:pos="1267"/>
        <w:tab w:val="left" w:pos="1930"/>
        <w:tab w:val="left" w:pos="2592"/>
        <w:tab w:val="left" w:pos="3254"/>
        <w:tab w:val="left" w:pos="3917"/>
        <w:tab w:val="left" w:pos="4579"/>
        <w:tab w:val="left" w:pos="5242"/>
        <w:tab w:val="left" w:pos="5904"/>
        <w:tab w:val="left" w:pos="6566"/>
      </w:tabs>
      <w:spacing w:after="120"/>
      <w:ind w:left="1267" w:right="1267"/>
    </w:pPr>
    <w:rPr>
      <w:b/>
      <w:bCs/>
    </w:rPr>
  </w:style>
  <w:style w:type="table" w:styleId="TableGrid">
    <w:name w:val="Table Grid"/>
    <w:basedOn w:val="TableNormal"/>
    <w:rsid w:val="00F50602"/>
    <w:pPr>
      <w:bidi/>
      <w:spacing w:line="400" w:lineRule="exact"/>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45509"/>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7B42"/>
    <w:rPr>
      <w:color w:val="0000FF"/>
      <w:u w:val="none"/>
    </w:rPr>
  </w:style>
  <w:style w:type="character" w:customStyle="1" w:styleId="FootnoteTextChar">
    <w:name w:val="Footnote Text Char"/>
    <w:aliases w:val="Char Char,Texto nota pie Car Char,FA Fu Char,Footnote Text Char Char Char Char Char Char,Footnote Text Char Char Char Char Char1,Footnote reference Char,Footnote Text Char Char Char Char1,texto de nota al pie Char,5_G Char"/>
    <w:link w:val="FootnoteText"/>
    <w:rsid w:val="00237B42"/>
    <w:rPr>
      <w:spacing w:val="5"/>
      <w:w w:val="104"/>
      <w:kern w:val="14"/>
      <w:sz w:val="17"/>
      <w:szCs w:val="26"/>
    </w:rPr>
  </w:style>
  <w:style w:type="paragraph" w:styleId="CommentSubject">
    <w:name w:val="annotation subject"/>
    <w:basedOn w:val="CommentText"/>
    <w:next w:val="CommentText"/>
    <w:link w:val="CommentSubjectChar"/>
    <w:rsid w:val="00492183"/>
    <w:rPr>
      <w:b/>
      <w:bCs/>
      <w:szCs w:val="20"/>
    </w:rPr>
  </w:style>
  <w:style w:type="character" w:customStyle="1" w:styleId="CommentTextChar">
    <w:name w:val="Comment Text Char"/>
    <w:basedOn w:val="DefaultParagraphFont"/>
    <w:link w:val="CommentText"/>
    <w:semiHidden/>
    <w:rsid w:val="00492183"/>
    <w:rPr>
      <w:w w:val="103"/>
      <w:kern w:val="14"/>
      <w:szCs w:val="24"/>
      <w:lang w:eastAsia="en-US"/>
    </w:rPr>
  </w:style>
  <w:style w:type="character" w:customStyle="1" w:styleId="CommentSubjectChar">
    <w:name w:val="Comment Subject Char"/>
    <w:basedOn w:val="CommentTextChar"/>
    <w:link w:val="CommentSubject"/>
    <w:rsid w:val="00492183"/>
    <w:rPr>
      <w:b/>
      <w:bCs/>
      <w:w w:val="103"/>
      <w:kern w:val="14"/>
      <w:szCs w:val="24"/>
      <w:lang w:eastAsia="en-US"/>
    </w:rPr>
  </w:style>
  <w:style w:type="character" w:styleId="FollowedHyperlink">
    <w:name w:val="FollowedHyperlink"/>
    <w:basedOn w:val="DefaultParagraphFont"/>
    <w:rsid w:val="0083560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ndocs.org/ar/A/RES/57/66" TargetMode="External"/><Relationship Id="rId18" Type="http://schemas.openxmlformats.org/officeDocument/2006/relationships/hyperlink" Target="http://undocs.org/ar/A/RES/&#160;64/4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undocs.org/ar/S/RES/1540(2004)" TargetMode="External"/><Relationship Id="rId7" Type="http://schemas.openxmlformats.org/officeDocument/2006/relationships/header" Target="header1.xml"/><Relationship Id="rId12" Type="http://schemas.openxmlformats.org/officeDocument/2006/relationships/hyperlink" Target="http://undocs.org/ar/A/71/450" TargetMode="External"/><Relationship Id="rId17" Type="http://schemas.openxmlformats.org/officeDocument/2006/relationships/hyperlink" Target="http://undocs.org/ar/A/RES/&#160;62/26" TargetMode="External"/><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yperlink" Target="http://undocs.org/ar/A/RES/&#160;60/69" TargetMode="External"/><Relationship Id="rId20" Type="http://schemas.openxmlformats.org/officeDocument/2006/relationships/hyperlink" Target="http://undocs.org/ar/A/RES/&#160;68/44" TargetMode="Externa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undocs.org/ar/A/RES/&#160;59/66"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undocs.org/ar/A/RES/66/41"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A/RES/&#160;58/42" TargetMode="External"/><Relationship Id="rId22" Type="http://schemas.openxmlformats.org/officeDocument/2006/relationships/header" Target="header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Arabic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Arabic_RES</Template>
  <TotalTime>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3578</CharactersWithSpaces>
  <SharedDoc>false</SharedDoc>
  <HLinks>
    <vt:vector size="54" baseType="variant">
      <vt:variant>
        <vt:i4>196703</vt:i4>
      </vt:variant>
      <vt:variant>
        <vt:i4>24</vt:i4>
      </vt:variant>
      <vt:variant>
        <vt:i4>0</vt:i4>
      </vt:variant>
      <vt:variant>
        <vt:i4>5</vt:i4>
      </vt:variant>
      <vt:variant>
        <vt:lpwstr>http://undocs.org/ar/S/RES/1540(2004)</vt:lpwstr>
      </vt:variant>
      <vt:variant>
        <vt:lpwstr/>
      </vt:variant>
      <vt:variant>
        <vt:i4>1376340</vt:i4>
      </vt:variant>
      <vt:variant>
        <vt:i4>21</vt:i4>
      </vt:variant>
      <vt:variant>
        <vt:i4>0</vt:i4>
      </vt:variant>
      <vt:variant>
        <vt:i4>5</vt:i4>
      </vt:variant>
      <vt:variant>
        <vt:lpwstr>http://undocs.org/ar/A/RES/68/44</vt:lpwstr>
      </vt:variant>
      <vt:variant>
        <vt:lpwstr/>
      </vt:variant>
      <vt:variant>
        <vt:i4>1048666</vt:i4>
      </vt:variant>
      <vt:variant>
        <vt:i4>18</vt:i4>
      </vt:variant>
      <vt:variant>
        <vt:i4>0</vt:i4>
      </vt:variant>
      <vt:variant>
        <vt:i4>5</vt:i4>
      </vt:variant>
      <vt:variant>
        <vt:lpwstr>http://undocs.org/ar/A/RES/66/41</vt:lpwstr>
      </vt:variant>
      <vt:variant>
        <vt:lpwstr/>
      </vt:variant>
      <vt:variant>
        <vt:i4>9961537</vt:i4>
      </vt:variant>
      <vt:variant>
        <vt:i4>15</vt:i4>
      </vt:variant>
      <vt:variant>
        <vt:i4>0</vt:i4>
      </vt:variant>
      <vt:variant>
        <vt:i4>5</vt:i4>
      </vt:variant>
      <vt:variant>
        <vt:lpwstr>http://undocs.org/ar/A/RES/ 64/40</vt:lpwstr>
      </vt:variant>
      <vt:variant>
        <vt:lpwstr/>
      </vt:variant>
      <vt:variant>
        <vt:i4>9961537</vt:i4>
      </vt:variant>
      <vt:variant>
        <vt:i4>12</vt:i4>
      </vt:variant>
      <vt:variant>
        <vt:i4>0</vt:i4>
      </vt:variant>
      <vt:variant>
        <vt:i4>5</vt:i4>
      </vt:variant>
      <vt:variant>
        <vt:lpwstr>http://undocs.org/ar/A/RES/ 62/26</vt:lpwstr>
      </vt:variant>
      <vt:variant>
        <vt:lpwstr/>
      </vt:variant>
      <vt:variant>
        <vt:i4>10354753</vt:i4>
      </vt:variant>
      <vt:variant>
        <vt:i4>9</vt:i4>
      </vt:variant>
      <vt:variant>
        <vt:i4>0</vt:i4>
      </vt:variant>
      <vt:variant>
        <vt:i4>5</vt:i4>
      </vt:variant>
      <vt:variant>
        <vt:lpwstr>http://undocs.org/ar/A/RES/ 60/69</vt:lpwstr>
      </vt:variant>
      <vt:variant>
        <vt:lpwstr/>
      </vt:variant>
      <vt:variant>
        <vt:i4>9896002</vt:i4>
      </vt:variant>
      <vt:variant>
        <vt:i4>6</vt:i4>
      </vt:variant>
      <vt:variant>
        <vt:i4>0</vt:i4>
      </vt:variant>
      <vt:variant>
        <vt:i4>5</vt:i4>
      </vt:variant>
      <vt:variant>
        <vt:lpwstr>http://undocs.org/ar/A/RES/ 59/66</vt:lpwstr>
      </vt:variant>
      <vt:variant>
        <vt:lpwstr/>
      </vt:variant>
      <vt:variant>
        <vt:i4>9699394</vt:i4>
      </vt:variant>
      <vt:variant>
        <vt:i4>3</vt:i4>
      </vt:variant>
      <vt:variant>
        <vt:i4>0</vt:i4>
      </vt:variant>
      <vt:variant>
        <vt:i4>5</vt:i4>
      </vt:variant>
      <vt:variant>
        <vt:lpwstr>http://undocs.org/ar/A/RES/ 58/42</vt:lpwstr>
      </vt:variant>
      <vt:variant>
        <vt:lpwstr/>
      </vt:variant>
      <vt:variant>
        <vt:i4>1310809</vt:i4>
      </vt:variant>
      <vt:variant>
        <vt:i4>0</vt:i4>
      </vt:variant>
      <vt:variant>
        <vt:i4>0</vt:i4>
      </vt:variant>
      <vt:variant>
        <vt:i4>5</vt:i4>
      </vt:variant>
      <vt:variant>
        <vt:lpwstr>http://undocs.org/ar/A/RES/57/66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 Jourieh</dc:creator>
  <cp:lastModifiedBy>Administrator</cp:lastModifiedBy>
  <cp:revision>4</cp:revision>
  <cp:lastPrinted>2016-12-20T15:58:00Z</cp:lastPrinted>
  <dcterms:created xsi:type="dcterms:W3CDTF">2016-12-20T15:57:00Z</dcterms:created>
  <dcterms:modified xsi:type="dcterms:W3CDTF">2016-12-20T15:58:00Z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1621210A</vt:lpwstr>
  </property>
  <property fmtid="{D5CDD505-2E9C-101B-9397-08002B2CF9AE}" pid="3" name="ODSRefJobNo">
    <vt:lpwstr>1642233A</vt:lpwstr>
  </property>
  <property fmtid="{D5CDD505-2E9C-101B-9397-08002B2CF9AE}" pid="4" name="Symbol1">
    <vt:lpwstr>A/RES/71/68</vt:lpwstr>
  </property>
  <property fmtid="{D5CDD505-2E9C-101B-9397-08002B2CF9AE}" pid="5" name="Symbol2">
    <vt:lpwstr/>
  </property>
</Properties>
</file>