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26" w:rsidRDefault="00A36926" w:rsidP="00A36926">
      <w:pPr>
        <w:spacing w:line="60" w:lineRule="exact"/>
        <w:rPr>
          <w:sz w:val="6"/>
        </w:rPr>
        <w:sectPr w:rsidR="00A36926" w:rsidSect="00A3692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2"/>
      </w:r>
      <w:bookmarkStart w:id="3" w:name="_GoBack"/>
      <w:bookmarkEnd w:id="3"/>
    </w:p>
    <w:p w:rsidR="00C77C3A" w:rsidRPr="00C77C3A" w:rsidRDefault="00C77C3A" w:rsidP="00C77C3A">
      <w:pPr>
        <w:pStyle w:val="SingleTxt"/>
        <w:spacing w:after="60"/>
        <w:ind w:left="0"/>
        <w:rPr>
          <w:rFonts w:ascii="黑体" w:eastAsia="黑体" w:hAnsi="黑体"/>
        </w:rPr>
      </w:pPr>
      <w:r w:rsidRPr="00C77C3A">
        <w:rPr>
          <w:rFonts w:ascii="黑体" w:eastAsia="黑体" w:hAnsi="黑体" w:hint="eastAsia"/>
        </w:rPr>
        <w:lastRenderedPageBreak/>
        <w:t>第七十一届会议</w:t>
      </w:r>
    </w:p>
    <w:p w:rsidR="00B31E9D" w:rsidRDefault="00C77C3A" w:rsidP="00C77C3A">
      <w:pPr>
        <w:pStyle w:val="SingleTxt"/>
        <w:ind w:left="0"/>
      </w:pPr>
      <w:r>
        <w:rPr>
          <w:rFonts w:hint="eastAsia"/>
        </w:rPr>
        <w:t>议程项目</w:t>
      </w:r>
      <w:r>
        <w:rPr>
          <w:rFonts w:hint="eastAsia"/>
        </w:rPr>
        <w:t>27</w:t>
      </w:r>
    </w:p>
    <w:p w:rsidR="00C77C3A" w:rsidRPr="00C77C3A" w:rsidRDefault="00C77C3A" w:rsidP="00C77C3A">
      <w:pPr>
        <w:pStyle w:val="SingleTxt"/>
        <w:spacing w:after="0" w:line="120" w:lineRule="exact"/>
        <w:rPr>
          <w:sz w:val="10"/>
        </w:rPr>
      </w:pPr>
    </w:p>
    <w:p w:rsidR="00C77C3A" w:rsidRPr="00C77C3A" w:rsidRDefault="00C77C3A" w:rsidP="00C77C3A">
      <w:pPr>
        <w:spacing w:before="120" w:after="120" w:line="240" w:lineRule="auto"/>
        <w:jc w:val="center"/>
        <w:outlineLvl w:val="0"/>
        <w:rPr>
          <w:rFonts w:eastAsia="华文中宋"/>
          <w:i/>
          <w:spacing w:val="40"/>
          <w:kern w:val="0"/>
          <w:sz w:val="30"/>
        </w:rPr>
      </w:pPr>
      <w:r w:rsidRPr="00C77C3A">
        <w:rPr>
          <w:rFonts w:ascii="华文中宋" w:eastAsia="华文中宋" w:hAnsi="华文中宋" w:hint="eastAsia"/>
          <w:spacing w:val="40"/>
          <w:kern w:val="0"/>
          <w:sz w:val="30"/>
        </w:rPr>
        <w:t>2016年12月19日</w:t>
      </w:r>
      <w:r w:rsidRPr="00C77C3A">
        <w:rPr>
          <w:rFonts w:eastAsia="华文中宋" w:hint="eastAsia"/>
          <w:spacing w:val="40"/>
          <w:kern w:val="0"/>
          <w:sz w:val="30"/>
        </w:rPr>
        <w:t>大会决议</w:t>
      </w:r>
    </w:p>
    <w:p w:rsidR="00C77C3A" w:rsidRPr="00C77C3A" w:rsidRDefault="00C77C3A" w:rsidP="00C77C3A">
      <w:pPr>
        <w:spacing w:line="240" w:lineRule="auto"/>
        <w:jc w:val="center"/>
        <w:outlineLvl w:val="0"/>
        <w:rPr>
          <w:rFonts w:ascii="宋体" w:hAnsi="宋体"/>
          <w:kern w:val="0"/>
        </w:rPr>
      </w:pPr>
      <w:r w:rsidRPr="00C77C3A">
        <w:rPr>
          <w:rFonts w:ascii="宋体" w:hAnsi="宋体"/>
          <w:kern w:val="0"/>
        </w:rPr>
        <w:t>[根据第三委员会的报告(</w:t>
      </w:r>
      <w:hyperlink r:id="rId16" w:history="1">
        <w:r w:rsidRPr="003E1C2F">
          <w:rPr>
            <w:rStyle w:val="ad"/>
            <w:rFonts w:ascii="宋体" w:hAnsi="宋体"/>
            <w:kern w:val="0"/>
          </w:rPr>
          <w:t>A/</w:t>
        </w:r>
        <w:r w:rsidRPr="003E1C2F">
          <w:rPr>
            <w:rStyle w:val="ad"/>
            <w:rFonts w:ascii="宋体" w:hAnsi="宋体" w:hint="eastAsia"/>
            <w:kern w:val="0"/>
          </w:rPr>
          <w:t>71/477</w:t>
        </w:r>
      </w:hyperlink>
      <w:r w:rsidRPr="00C77C3A">
        <w:rPr>
          <w:rFonts w:ascii="宋体" w:hAnsi="宋体"/>
          <w:kern w:val="0"/>
        </w:rPr>
        <w:t>)通</w:t>
      </w:r>
      <w:r w:rsidRPr="00C77C3A">
        <w:rPr>
          <w:rFonts w:ascii="宋体" w:hAnsi="宋体" w:hint="eastAsia"/>
          <w:kern w:val="0"/>
        </w:rPr>
        <w:t>过]</w:t>
      </w:r>
    </w:p>
    <w:p w:rsidR="00C77C3A" w:rsidRPr="00C77C3A" w:rsidRDefault="00B22065" w:rsidP="00C77C3A">
      <w:pPr>
        <w:keepNext/>
        <w:tabs>
          <w:tab w:val="left" w:pos="8370"/>
          <w:tab w:val="left" w:pos="8460"/>
          <w:tab w:val="left" w:pos="8640"/>
        </w:tabs>
        <w:spacing w:before="360" w:after="360"/>
        <w:ind w:left="1620" w:right="1488"/>
        <w:jc w:val="center"/>
        <w:outlineLvl w:val="0"/>
        <w:rPr>
          <w:rFonts w:ascii="黑体" w:eastAsia="黑体"/>
          <w:spacing w:val="-6"/>
          <w:kern w:val="0"/>
          <w:sz w:val="28"/>
          <w:szCs w:val="28"/>
        </w:rPr>
      </w:pPr>
      <w:hyperlink r:id="rId17" w:history="1">
        <w:r w:rsidR="00C77C3A" w:rsidRPr="003E1C2F">
          <w:rPr>
            <w:rStyle w:val="ad"/>
            <w:rFonts w:ascii="黑体" w:eastAsia="黑体" w:hint="eastAsia"/>
            <w:spacing w:val="-6"/>
            <w:kern w:val="0"/>
            <w:sz w:val="28"/>
          </w:rPr>
          <w:t>71/170</w:t>
        </w:r>
      </w:hyperlink>
      <w:r w:rsidR="00C77C3A" w:rsidRPr="00C77C3A">
        <w:rPr>
          <w:rFonts w:ascii="黑体" w:eastAsia="黑体"/>
          <w:spacing w:val="-6"/>
          <w:kern w:val="0"/>
          <w:sz w:val="28"/>
        </w:rPr>
        <w:t>.</w:t>
      </w:r>
      <w:r w:rsidR="00C77C3A" w:rsidRPr="00C77C3A">
        <w:rPr>
          <w:rFonts w:ascii="黑体" w:eastAsia="黑体" w:hint="eastAsia"/>
          <w:spacing w:val="-6"/>
          <w:kern w:val="0"/>
          <w:sz w:val="28"/>
        </w:rPr>
        <w:t xml:space="preserve"> </w:t>
      </w:r>
      <w:bookmarkStart w:id="4" w:name="OLE_LINK12"/>
      <w:bookmarkStart w:id="5" w:name="OLE_LINK13"/>
      <w:r w:rsidR="00C77C3A" w:rsidRPr="00C77C3A">
        <w:rPr>
          <w:rFonts w:ascii="黑体" w:eastAsia="黑体" w:hint="eastAsia"/>
          <w:spacing w:val="-6"/>
          <w:kern w:val="0"/>
          <w:sz w:val="28"/>
          <w:szCs w:val="28"/>
        </w:rPr>
        <w:t>加紧努力防止和消除一切形式暴力侵害妇女和女童行为：家庭暴力</w:t>
      </w:r>
      <w:bookmarkEnd w:id="4"/>
      <w:bookmarkEnd w:id="5"/>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大会</w:t>
      </w:r>
      <w:r w:rsidRPr="00C77C3A">
        <w:rPr>
          <w:rFonts w:ascii="宋体" w:cs="宋体" w:hint="eastAsia"/>
        </w:rPr>
        <w:t>，</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hint="eastAsia"/>
          <w:b/>
        </w:rPr>
        <w:t>回顾</w:t>
      </w:r>
      <w:r w:rsidRPr="00C77C3A">
        <w:rPr>
          <w:rFonts w:ascii="宋体" w:hint="eastAsia"/>
        </w:rPr>
        <w:t>其2006年12月19日第</w:t>
      </w:r>
      <w:hyperlink r:id="rId18" w:history="1">
        <w:r w:rsidRPr="003E1C2F">
          <w:rPr>
            <w:rStyle w:val="ad"/>
            <w:rFonts w:ascii="宋体" w:hint="eastAsia"/>
          </w:rPr>
          <w:t>61/143</w:t>
        </w:r>
      </w:hyperlink>
      <w:r w:rsidRPr="00C77C3A">
        <w:rPr>
          <w:rFonts w:ascii="宋体" w:hint="eastAsia"/>
        </w:rPr>
        <w:t>号、2007年12月18日第</w:t>
      </w:r>
      <w:hyperlink r:id="rId19" w:history="1">
        <w:r w:rsidRPr="003E1C2F">
          <w:rPr>
            <w:rStyle w:val="ad"/>
            <w:rFonts w:ascii="宋体" w:hint="eastAsia"/>
          </w:rPr>
          <w:t>62/133</w:t>
        </w:r>
      </w:hyperlink>
      <w:r w:rsidRPr="00C77C3A">
        <w:rPr>
          <w:rFonts w:ascii="宋体" w:hint="eastAsia"/>
        </w:rPr>
        <w:t>号、2008年12月18日第</w:t>
      </w:r>
      <w:hyperlink r:id="rId20" w:history="1">
        <w:r w:rsidRPr="003E1C2F">
          <w:rPr>
            <w:rStyle w:val="ad"/>
            <w:rFonts w:ascii="宋体" w:hint="eastAsia"/>
          </w:rPr>
          <w:t>63/155</w:t>
        </w:r>
      </w:hyperlink>
      <w:r w:rsidRPr="00C77C3A">
        <w:rPr>
          <w:rFonts w:ascii="宋体" w:hint="eastAsia"/>
        </w:rPr>
        <w:t>号、2009年12月18日第</w:t>
      </w:r>
      <w:hyperlink r:id="rId21" w:history="1">
        <w:r w:rsidRPr="003E1C2F">
          <w:rPr>
            <w:rStyle w:val="ad"/>
            <w:rFonts w:ascii="宋体" w:hint="eastAsia"/>
          </w:rPr>
          <w:t>64/137</w:t>
        </w:r>
      </w:hyperlink>
      <w:r w:rsidRPr="00C77C3A">
        <w:rPr>
          <w:rFonts w:ascii="宋体" w:hint="eastAsia"/>
        </w:rPr>
        <w:t>号、2010年12月21日第</w:t>
      </w:r>
      <w:hyperlink r:id="rId22" w:history="1">
        <w:r w:rsidRPr="003E1C2F">
          <w:rPr>
            <w:rStyle w:val="ad"/>
            <w:rFonts w:ascii="宋体" w:hint="eastAsia"/>
          </w:rPr>
          <w:t>65/187</w:t>
        </w:r>
      </w:hyperlink>
      <w:r w:rsidRPr="00C77C3A">
        <w:rPr>
          <w:rFonts w:ascii="宋体" w:hint="eastAsia"/>
        </w:rPr>
        <w:t>号、2012年12月20日第</w:t>
      </w:r>
      <w:hyperlink r:id="rId23" w:history="1">
        <w:r w:rsidRPr="003E1C2F">
          <w:rPr>
            <w:rStyle w:val="ad"/>
            <w:rFonts w:ascii="宋体" w:hint="eastAsia"/>
          </w:rPr>
          <w:t>67/144</w:t>
        </w:r>
      </w:hyperlink>
      <w:r w:rsidRPr="00C77C3A">
        <w:rPr>
          <w:rFonts w:ascii="宋体" w:hint="eastAsia"/>
        </w:rPr>
        <w:t>号及其以往所有关于消除暴力侵害妇女行为的决议，以及关于加紧努力消除一切形式暴力侵害妇女和女童行为的2014年12月18日第</w:t>
      </w:r>
      <w:hyperlink r:id="rId24" w:history="1">
        <w:r w:rsidRPr="003E1C2F">
          <w:rPr>
            <w:rStyle w:val="ad"/>
            <w:rFonts w:ascii="宋体" w:hint="eastAsia"/>
          </w:rPr>
          <w:t>69/147</w:t>
        </w:r>
      </w:hyperlink>
      <w:r w:rsidRPr="00C77C3A">
        <w:rPr>
          <w:rFonts w:ascii="宋体" w:hint="eastAsia"/>
        </w:rPr>
        <w:t>号决议，</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hint="eastAsia"/>
          <w:b/>
        </w:rPr>
        <w:t>又回顾</w:t>
      </w:r>
      <w:r w:rsidRPr="00C77C3A">
        <w:rPr>
          <w:rFonts w:ascii="宋体" w:hint="eastAsia"/>
        </w:rPr>
        <w:t>大会2003年12月22日第</w:t>
      </w:r>
      <w:hyperlink r:id="rId25" w:history="1">
        <w:r w:rsidRPr="003E1C2F">
          <w:rPr>
            <w:rStyle w:val="ad"/>
            <w:rFonts w:ascii="宋体" w:hint="eastAsia"/>
          </w:rPr>
          <w:t>58/147</w:t>
        </w:r>
      </w:hyperlink>
      <w:r w:rsidRPr="00C77C3A">
        <w:rPr>
          <w:rFonts w:ascii="宋体" w:hint="eastAsia"/>
        </w:rPr>
        <w:t>号决议以及题为“关于加紧努力消除一切形式暴力侵害妇女行为：消除家庭暴力”的人权理事会2015年7月2日第</w:t>
      </w:r>
      <w:hyperlink r:id="rId26" w:history="1">
        <w:r w:rsidRPr="003E1C2F">
          <w:rPr>
            <w:rStyle w:val="ad"/>
            <w:rFonts w:ascii="宋体" w:hint="eastAsia"/>
          </w:rPr>
          <w:t>29/14</w:t>
        </w:r>
      </w:hyperlink>
      <w:r w:rsidRPr="00C77C3A">
        <w:rPr>
          <w:rFonts w:ascii="宋体" w:hint="eastAsia"/>
        </w:rPr>
        <w:t>号决议，</w:t>
      </w:r>
      <w:r w:rsidRPr="00C77C3A">
        <w:rPr>
          <w:rFonts w:eastAsia="华文中宋"/>
          <w:kern w:val="18"/>
          <w:position w:val="2"/>
          <w:vertAlign w:val="superscript"/>
        </w:rPr>
        <w:footnoteReference w:id="1"/>
      </w:r>
      <w:r w:rsidRPr="00C77C3A">
        <w:rPr>
          <w:rFonts w:ascii="宋体"/>
        </w:rPr>
        <w:t xml:space="preserve"> </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还回顾</w:t>
      </w:r>
      <w:r w:rsidRPr="00C77C3A">
        <w:rPr>
          <w:rFonts w:ascii="宋体" w:cs="宋体" w:hint="eastAsia"/>
        </w:rPr>
        <w:t>大会、安全理事会(特别是关于妇女、和平与安全和儿童与武装冲突的决议)和经济及社会理事会的所有其他相关决议，人权理事会和妇女地位委员会的相关决议，以及联合国系统专门机构关于消除一切形式暴力侵害妇女和女童行为的相关决议和进程，</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spacing w:val="4"/>
        </w:rPr>
      </w:pPr>
      <w:r w:rsidRPr="00C77C3A">
        <w:rPr>
          <w:rFonts w:ascii="宋体"/>
        </w:rPr>
        <w:tab/>
      </w:r>
      <w:r w:rsidRPr="00C77C3A">
        <w:rPr>
          <w:rFonts w:ascii="楷体_GB2312" w:eastAsia="楷体_GB2312" w:hAnsi="楷体_GB2312" w:cs="楷体_GB2312" w:hint="eastAsia"/>
          <w:b/>
          <w:spacing w:val="4"/>
        </w:rPr>
        <w:t>重申</w:t>
      </w:r>
      <w:r w:rsidRPr="00C77C3A">
        <w:rPr>
          <w:rFonts w:ascii="宋体" w:cs="宋体" w:hint="eastAsia"/>
          <w:spacing w:val="4"/>
        </w:rPr>
        <w:t>所有国家均有义务促进和保护所有人权和基本自由，又重申基于性别的歧视违背《联合国宪章》、《世界人权宣言》、</w:t>
      </w:r>
      <w:r w:rsidRPr="00C77C3A">
        <w:rPr>
          <w:rFonts w:eastAsia="华文中宋"/>
          <w:spacing w:val="4"/>
          <w:kern w:val="18"/>
          <w:position w:val="2"/>
          <w:vertAlign w:val="superscript"/>
        </w:rPr>
        <w:footnoteReference w:id="2"/>
      </w:r>
      <w:r w:rsidRPr="00C77C3A">
        <w:rPr>
          <w:rFonts w:ascii="宋体" w:cs="宋体" w:hint="eastAsia"/>
          <w:spacing w:val="4"/>
        </w:rPr>
        <w:t>《公民权利和政治权利国际公</w:t>
      </w:r>
      <w:bookmarkStart w:id="6" w:name="OLE_LINK11"/>
      <w:r w:rsidRPr="00C77C3A">
        <w:rPr>
          <w:rFonts w:ascii="宋体" w:cs="宋体" w:hint="eastAsia"/>
          <w:spacing w:val="-2"/>
        </w:rPr>
        <w:lastRenderedPageBreak/>
        <w:t>约》、</w:t>
      </w:r>
      <w:bookmarkStart w:id="7" w:name="_Ref474246347"/>
      <w:r w:rsidRPr="00C77C3A">
        <w:rPr>
          <w:rFonts w:eastAsia="华文中宋"/>
          <w:spacing w:val="-2"/>
          <w:kern w:val="18"/>
          <w:position w:val="2"/>
          <w:vertAlign w:val="superscript"/>
        </w:rPr>
        <w:footnoteReference w:id="3"/>
      </w:r>
      <w:bookmarkEnd w:id="7"/>
      <w:r w:rsidRPr="00C77C3A">
        <w:rPr>
          <w:rFonts w:ascii="宋体" w:cs="宋体" w:hint="eastAsia"/>
          <w:spacing w:val="-2"/>
        </w:rPr>
        <w:t>《经济、社会及文化权利国际公约</w:t>
      </w:r>
      <w:bookmarkEnd w:id="6"/>
      <w:r w:rsidRPr="00C77C3A">
        <w:rPr>
          <w:rFonts w:ascii="宋体" w:cs="宋体" w:hint="eastAsia"/>
          <w:spacing w:val="-2"/>
        </w:rPr>
        <w:t>》、</w:t>
      </w:r>
      <w:r w:rsidRPr="00C77C3A">
        <w:rPr>
          <w:rFonts w:ascii="宋体"/>
          <w:spacing w:val="-2"/>
        </w:rPr>
        <w:fldChar w:fldCharType="begin"/>
      </w:r>
      <w:r w:rsidRPr="00C77C3A">
        <w:rPr>
          <w:rFonts w:eastAsia="华文中宋"/>
          <w:spacing w:val="-2"/>
          <w:kern w:val="18"/>
          <w:position w:val="2"/>
          <w:vertAlign w:val="superscript"/>
        </w:rPr>
        <w:instrText xml:space="preserve"> </w:instrText>
      </w:r>
      <w:r w:rsidRPr="00C77C3A">
        <w:rPr>
          <w:rFonts w:eastAsia="华文中宋" w:hint="eastAsia"/>
          <w:spacing w:val="-2"/>
          <w:kern w:val="18"/>
          <w:position w:val="2"/>
          <w:vertAlign w:val="superscript"/>
        </w:rPr>
        <w:instrText>NOTEREF _Ref474246347 \h</w:instrText>
      </w:r>
      <w:r w:rsidRPr="00C77C3A">
        <w:rPr>
          <w:rFonts w:eastAsia="华文中宋"/>
          <w:spacing w:val="-2"/>
          <w:kern w:val="18"/>
          <w:position w:val="2"/>
          <w:vertAlign w:val="superscript"/>
        </w:rPr>
        <w:instrText xml:space="preserve"> </w:instrText>
      </w:r>
      <w:r>
        <w:rPr>
          <w:rFonts w:ascii="宋体"/>
          <w:spacing w:val="-2"/>
        </w:rPr>
        <w:instrText xml:space="preserve"> \* MERGEFORMAT </w:instrText>
      </w:r>
      <w:r w:rsidRPr="00C77C3A">
        <w:rPr>
          <w:rFonts w:ascii="宋体"/>
          <w:spacing w:val="-2"/>
        </w:rPr>
      </w:r>
      <w:r w:rsidRPr="00C77C3A">
        <w:rPr>
          <w:rFonts w:ascii="宋体"/>
          <w:spacing w:val="-2"/>
        </w:rPr>
        <w:fldChar w:fldCharType="separate"/>
      </w:r>
      <w:r w:rsidRPr="00C77C3A">
        <w:rPr>
          <w:rFonts w:eastAsia="华文中宋"/>
          <w:spacing w:val="-2"/>
          <w:kern w:val="18"/>
          <w:position w:val="2"/>
          <w:vertAlign w:val="superscript"/>
        </w:rPr>
        <w:t>3</w:t>
      </w:r>
      <w:r w:rsidRPr="00C77C3A">
        <w:rPr>
          <w:rFonts w:ascii="宋体"/>
          <w:spacing w:val="-2"/>
        </w:rPr>
        <w:fldChar w:fldCharType="end"/>
      </w:r>
      <w:r w:rsidRPr="00C77C3A">
        <w:rPr>
          <w:rFonts w:ascii="宋体" w:cs="宋体" w:hint="eastAsia"/>
          <w:spacing w:val="-2"/>
        </w:rPr>
        <w:t>《消除对妇女一切形式歧视公约》</w:t>
      </w:r>
      <w:r w:rsidRPr="00C77C3A">
        <w:rPr>
          <w:rFonts w:eastAsia="华文中宋"/>
          <w:spacing w:val="-2"/>
          <w:kern w:val="18"/>
          <w:position w:val="2"/>
          <w:vertAlign w:val="superscript"/>
        </w:rPr>
        <w:footnoteReference w:id="4"/>
      </w:r>
      <w:r w:rsidRPr="00C77C3A">
        <w:rPr>
          <w:rFonts w:eastAsia="华文中宋"/>
          <w:spacing w:val="-2"/>
          <w:kern w:val="18"/>
          <w:position w:val="2"/>
          <w:vertAlign w:val="superscript"/>
        </w:rPr>
        <w:t xml:space="preserve"> </w:t>
      </w:r>
      <w:r w:rsidRPr="00C77C3A">
        <w:rPr>
          <w:rFonts w:ascii="宋体" w:cs="宋体" w:hint="eastAsia"/>
          <w:spacing w:val="-2"/>
        </w:rPr>
        <w:t>以及《儿童权利公约》及其各项任择议定书，</w:t>
      </w:r>
      <w:r w:rsidRPr="00C77C3A">
        <w:rPr>
          <w:rFonts w:eastAsia="华文中宋"/>
          <w:kern w:val="18"/>
          <w:position w:val="2"/>
          <w:vertAlign w:val="superscript"/>
        </w:rPr>
        <w:footnoteReference w:id="5"/>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又重申</w:t>
      </w:r>
      <w:r w:rsidRPr="00C77C3A">
        <w:rPr>
          <w:rFonts w:ascii="宋体" w:cs="宋体" w:hint="eastAsia"/>
        </w:rPr>
        <w:t>《维也纳宣言和行动纲领》、</w:t>
      </w:r>
      <w:r w:rsidRPr="00C77C3A">
        <w:rPr>
          <w:rFonts w:eastAsia="华文中宋"/>
          <w:kern w:val="18"/>
          <w:position w:val="2"/>
          <w:vertAlign w:val="superscript"/>
        </w:rPr>
        <w:footnoteReference w:id="6"/>
      </w:r>
      <w:r w:rsidRPr="00C77C3A">
        <w:rPr>
          <w:rFonts w:ascii="宋体" w:cs="宋体" w:hint="eastAsia"/>
        </w:rPr>
        <w:t>《消除对妇女的暴力行为宣言》、</w:t>
      </w:r>
      <w:bookmarkStart w:id="8" w:name="_Ref470094222"/>
      <w:r w:rsidRPr="00C77C3A">
        <w:rPr>
          <w:rFonts w:eastAsia="华文中宋"/>
          <w:kern w:val="18"/>
          <w:position w:val="2"/>
          <w:vertAlign w:val="superscript"/>
        </w:rPr>
        <w:footnoteReference w:id="7"/>
      </w:r>
      <w:bookmarkEnd w:id="8"/>
      <w:r w:rsidRPr="00C77C3A">
        <w:rPr>
          <w:rFonts w:ascii="宋体" w:cs="宋体" w:hint="eastAsia"/>
        </w:rPr>
        <w:t>《北京宣言》和《行动纲要》、</w:t>
      </w:r>
      <w:bookmarkStart w:id="9" w:name="_Ref468873817"/>
      <w:r w:rsidRPr="00C77C3A">
        <w:rPr>
          <w:rFonts w:eastAsia="华文中宋"/>
          <w:kern w:val="18"/>
          <w:position w:val="2"/>
          <w:vertAlign w:val="superscript"/>
        </w:rPr>
        <w:footnoteReference w:id="8"/>
      </w:r>
      <w:bookmarkEnd w:id="9"/>
      <w:r w:rsidRPr="00C77C3A">
        <w:rPr>
          <w:rFonts w:ascii="宋体" w:cs="宋体" w:hint="eastAsia"/>
        </w:rPr>
        <w:t>《国际人口与发展会议行动纲领》</w:t>
      </w:r>
      <w:bookmarkStart w:id="10" w:name="_Ref468873803"/>
      <w:r w:rsidRPr="00C77C3A">
        <w:rPr>
          <w:rFonts w:eastAsia="华文中宋"/>
          <w:kern w:val="18"/>
          <w:position w:val="2"/>
          <w:vertAlign w:val="superscript"/>
        </w:rPr>
        <w:footnoteReference w:id="9"/>
      </w:r>
      <w:bookmarkEnd w:id="10"/>
      <w:r w:rsidRPr="00C77C3A">
        <w:rPr>
          <w:rFonts w:eastAsia="华文中宋"/>
          <w:kern w:val="18"/>
          <w:position w:val="2"/>
          <w:vertAlign w:val="superscript"/>
        </w:rPr>
        <w:t xml:space="preserve"> </w:t>
      </w:r>
      <w:r w:rsidRPr="00C77C3A">
        <w:rPr>
          <w:rFonts w:ascii="宋体" w:cs="宋体" w:hint="eastAsia"/>
        </w:rPr>
        <w:t>及其审查会议的成果以及《联合国土著人民权利宣言》，</w:t>
      </w:r>
      <w:r w:rsidRPr="00C77C3A">
        <w:rPr>
          <w:rFonts w:eastAsia="华文中宋"/>
          <w:kern w:val="18"/>
          <w:position w:val="2"/>
          <w:vertAlign w:val="superscript"/>
        </w:rPr>
        <w:footnoteReference w:id="10"/>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欢迎</w:t>
      </w:r>
      <w:r w:rsidRPr="00C77C3A">
        <w:rPr>
          <w:rFonts w:ascii="宋体" w:cs="宋体" w:hint="eastAsia"/>
        </w:rPr>
        <w:t>《</w:t>
      </w:r>
      <w:r w:rsidRPr="00C77C3A">
        <w:rPr>
          <w:rFonts w:ascii="宋体"/>
        </w:rPr>
        <w:t>2030</w:t>
      </w:r>
      <w:r w:rsidRPr="00C77C3A">
        <w:rPr>
          <w:rFonts w:ascii="宋体" w:cs="宋体" w:hint="eastAsia"/>
        </w:rPr>
        <w:t>年可持续发展议程》</w:t>
      </w:r>
      <w:bookmarkStart w:id="11" w:name="_Ref468873776"/>
      <w:r w:rsidRPr="00C77C3A">
        <w:rPr>
          <w:rFonts w:eastAsia="华文中宋"/>
          <w:kern w:val="18"/>
          <w:position w:val="2"/>
          <w:vertAlign w:val="superscript"/>
        </w:rPr>
        <w:footnoteReference w:id="11"/>
      </w:r>
      <w:bookmarkEnd w:id="11"/>
      <w:r w:rsidRPr="00C77C3A">
        <w:rPr>
          <w:rFonts w:eastAsia="华文中宋"/>
          <w:kern w:val="18"/>
          <w:position w:val="2"/>
          <w:vertAlign w:val="superscript"/>
        </w:rPr>
        <w:t xml:space="preserve"> </w:t>
      </w:r>
      <w:r w:rsidRPr="00C77C3A">
        <w:rPr>
          <w:rFonts w:ascii="宋体" w:cs="宋体" w:hint="eastAsia"/>
        </w:rPr>
        <w:t>以及妇女地位委员会第六十届会议</w:t>
      </w:r>
      <w:r w:rsidRPr="00C77C3A">
        <w:rPr>
          <w:rFonts w:eastAsia="华文中宋"/>
          <w:kern w:val="18"/>
          <w:position w:val="2"/>
          <w:vertAlign w:val="superscript"/>
        </w:rPr>
        <w:footnoteReference w:id="12"/>
      </w:r>
      <w:r w:rsidRPr="00C77C3A">
        <w:rPr>
          <w:rFonts w:eastAsia="华文中宋"/>
          <w:kern w:val="18"/>
          <w:position w:val="2"/>
          <w:vertAlign w:val="superscript"/>
        </w:rPr>
        <w:t xml:space="preserve"> </w:t>
      </w:r>
      <w:r w:rsidRPr="00C77C3A">
        <w:rPr>
          <w:rFonts w:ascii="宋体" w:cs="宋体" w:hint="eastAsia"/>
        </w:rPr>
        <w:t>和以往各届会议通过的商定结论所载关于实现性别平等和增强所有妇女和女童权能的承诺，认识到妇女作为发展推动者发挥重要作用，并承认实现性别平等和增强所有妇女和女童权能对所有可持续发展目标和具体目标取得进展至关重要，</w:t>
      </w:r>
      <w:r w:rsidRPr="00C77C3A">
        <w:rPr>
          <w:rFonts w:ascii="宋体"/>
        </w:rPr>
        <w:t xml:space="preserve"> </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回顾</w:t>
      </w:r>
      <w:r w:rsidRPr="00C77C3A">
        <w:rPr>
          <w:rFonts w:ascii="宋体" w:cs="宋体" w:hint="eastAsia"/>
        </w:rPr>
        <w:t>可持续发展目标</w:t>
      </w:r>
      <w:r w:rsidRPr="00C77C3A">
        <w:rPr>
          <w:rFonts w:ascii="宋体"/>
        </w:rPr>
        <w:t>5</w:t>
      </w:r>
      <w:r w:rsidRPr="00C77C3A">
        <w:rPr>
          <w:rFonts w:ascii="宋体" w:cs="宋体" w:hint="eastAsia"/>
        </w:rPr>
        <w:t>特别是具体目标</w:t>
      </w:r>
      <w:r w:rsidRPr="00C77C3A">
        <w:rPr>
          <w:rFonts w:ascii="宋体"/>
        </w:rPr>
        <w:t>5.2</w:t>
      </w:r>
      <w:r w:rsidRPr="00C77C3A">
        <w:rPr>
          <w:rFonts w:ascii="宋体" w:cs="宋体" w:hint="eastAsia"/>
        </w:rPr>
        <w:t>所载的承诺，即消除公共和私营部门针对妇女和女童一切形式的暴力行为，包括贩卖、性剥削及其他形式的剥削，并考虑到不让任何人掉队的承诺，</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深为关切</w:t>
      </w:r>
      <w:r w:rsidRPr="00C77C3A">
        <w:rPr>
          <w:rFonts w:ascii="宋体" w:cs="宋体" w:hint="eastAsia"/>
        </w:rPr>
        <w:t>全世界存在各种不同形式和表现的暴力侵害妇女和女童行为，而且对这些行为认识不够、举报不足，在社区一级尤其如此，这些行为的普遍性反映出存在强化陈规定型观念和性别不平等的歧视性规则以及相关的有罪不罚和缺乏问责现象，重申需要加紧努力在全世界所有区域防止和消除公共和私营部门中一切形式暴力侵害妇女和女童行为，再次强调暴力侵害妇女和女童行为侵犯她们的人权并妨碍她们充分享受所有人权，</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家庭暴力仍然普遍存在，影响到全世界各社会阶层的妇女，迫切需要防止和消除这种暴力，在这方面又认识到联合国促进性别平等和增强妇女权能署</w:t>
      </w:r>
      <w:r w:rsidRPr="00C77C3A">
        <w:rPr>
          <w:rFonts w:ascii="宋体"/>
        </w:rPr>
        <w:t>(</w:t>
      </w:r>
      <w:r w:rsidRPr="00C77C3A">
        <w:rPr>
          <w:rFonts w:ascii="宋体" w:cs="宋体" w:hint="eastAsia"/>
        </w:rPr>
        <w:t>妇女署</w:t>
      </w:r>
      <w:r w:rsidRPr="00C77C3A">
        <w:rPr>
          <w:rFonts w:ascii="宋体"/>
        </w:rPr>
        <w:t>)</w:t>
      </w:r>
      <w:r w:rsidRPr="00C77C3A">
        <w:rPr>
          <w:rFonts w:ascii="宋体" w:cs="宋体" w:hint="eastAsia"/>
        </w:rPr>
        <w:t>、世界卫生组织、联合国人口基金、国际劳工组织、国际移民组织和其他相关的联合国实体、机构和方案等联合国系统有关部门持续不断的努力，并注意到世界卫生大会核准关于加强卫生系统在处理特别是对妇女和女童以及对儿童的人际暴力行为的国家多部门对策中的作用的全球行动计划，</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楷体_GB2312" w:eastAsia="楷体_GB2312" w:hAnsi="楷体_GB2312"/>
          <w:b/>
        </w:rPr>
        <w:lastRenderedPageBreak/>
        <w:tab/>
      </w:r>
      <w:r w:rsidRPr="00C77C3A">
        <w:rPr>
          <w:rFonts w:ascii="楷体_GB2312" w:eastAsia="楷体_GB2312" w:hAnsi="楷体_GB2312" w:cs="楷体_GB2312" w:hint="eastAsia"/>
          <w:b/>
        </w:rPr>
        <w:t>又认识到</w:t>
      </w:r>
      <w:r w:rsidRPr="00C77C3A">
        <w:rPr>
          <w:rFonts w:ascii="宋体" w:cs="宋体" w:hint="eastAsia"/>
        </w:rPr>
        <w:t>家庭暴力可包括但不限于以下行为，对这些行为可在不同情况下作不同理解：殴打，对家中的妇女和女童进行性虐待，乱伦，与嫁妆有关的暴力，婚内强奸，亲密伴侣暴力，杀戮女性，杀害女婴，以所谓“名誉”为名对妇女和女童实施的罪行，以激情为名犯下的罪行，强迫绝育、强迫堕胎、胁迫</w:t>
      </w:r>
      <w:r w:rsidRPr="00C77C3A">
        <w:rPr>
          <w:rFonts w:ascii="宋体"/>
        </w:rPr>
        <w:t>/</w:t>
      </w:r>
      <w:r w:rsidRPr="00C77C3A">
        <w:rPr>
          <w:rFonts w:ascii="宋体" w:cs="宋体" w:hint="eastAsia"/>
        </w:rPr>
        <w:t>强迫使用避孕药具、强迫怀孕、性奴役、危害妇女和女童的做法如童婚、早婚和逼婚及切割女性生殖器等，</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还认识到</w:t>
      </w:r>
      <w:r w:rsidRPr="00C77C3A">
        <w:rPr>
          <w:rFonts w:ascii="宋体" w:cs="宋体" w:hint="eastAsia"/>
        </w:rPr>
        <w:t>包括家庭暴力在内的暴力侵害妇女和女童行为植根于历史上和结构上男女权力关系的不平等，严重侵犯、损害或剥夺妇女和女童对所有人权和基本自由的享受，并严重阻碍她们充分、平等而有效地参与社会、经济和政治决策，</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妇女贫穷，缺乏赋权，由于被排斥在社会和经济政策之外且不能享受教育和可持续发展的惠益而处于边缘地位，所有这些都可能增加妇女遭受暴力侵害的风险，而包括家庭暴力在内的暴力侵害妇女和女童行为妨碍社区和国家的社会和经济发展以及可持续发展，也妨碍实现《</w:t>
      </w:r>
      <w:r w:rsidRPr="00C77C3A">
        <w:rPr>
          <w:rFonts w:ascii="宋体"/>
        </w:rPr>
        <w:t>2030</w:t>
      </w:r>
      <w:r w:rsidRPr="00C77C3A">
        <w:rPr>
          <w:rFonts w:ascii="宋体" w:cs="宋体" w:hint="eastAsia"/>
        </w:rPr>
        <w:t>年可持续发展议程》以及其他国际商定的发展目标，</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承认</w:t>
      </w:r>
      <w:r w:rsidRPr="00C77C3A">
        <w:rPr>
          <w:rFonts w:ascii="宋体" w:cs="宋体" w:hint="eastAsia"/>
        </w:rPr>
        <w:t>必须全面处理暴力侵害妇女和女童行为，包括为此确认暴力侵害妇女和女童行为与艾滋病毒</w:t>
      </w:r>
      <w:r w:rsidRPr="00C77C3A">
        <w:rPr>
          <w:rFonts w:ascii="宋体"/>
        </w:rPr>
        <w:t>/</w:t>
      </w:r>
      <w:r w:rsidRPr="00C77C3A">
        <w:rPr>
          <w:rFonts w:ascii="宋体" w:cs="宋体" w:hint="eastAsia"/>
        </w:rPr>
        <w:t>艾滋病、消除贫穷、粮食安全、和平与安全、人道主义援助、教育、司法救助、卫生和预防犯罪等其他问题之间的关联，</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遭受相互交叉的多重形式歧视的妇女和女童，包括老年妇女、土著妇女和女童、移民妇女和女童、残疾妇女和女童所面临的特别暴力风险，并强调指出迫切需要消除对她们的暴力和歧视，</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又认识到</w:t>
      </w:r>
      <w:r w:rsidRPr="00C77C3A">
        <w:rPr>
          <w:rFonts w:ascii="宋体" w:cs="宋体" w:hint="eastAsia"/>
        </w:rPr>
        <w:t>武装冲突在世界各地的持续存在严重阻碍了消除一切形式暴力侵害妇女行为的努力，同时铭记世界许多地区仍存在武装冲突和其他类型武装暴力，包括恐怖主义和劫持人质现象；侵略、外国占领及族裔冲突和其他类型的冲突是持续的现实问题，影响到几乎每个地区的妇女和男子；各国和国际社会应特别重视处于这种局势中的妇女和女童的困境，优先关注并增加援助以缓解她们的苦难，以及确保适当调查、酌情起诉和惩罚所有暴力侵害妇女和女童的行为人，以杜绝有罪不罚现象，同时强调指出必须尊重国际人道主义法和人权法，</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还认识到</w:t>
      </w:r>
      <w:r w:rsidRPr="00C77C3A">
        <w:rPr>
          <w:rFonts w:ascii="宋体" w:cs="宋体" w:hint="eastAsia"/>
        </w:rPr>
        <w:t>武装冲突中的强奸和其他形式性暴力可构成战争罪并严重违反1949年日内瓦四公约</w:t>
      </w:r>
      <w:r w:rsidRPr="00C77C3A">
        <w:rPr>
          <w:rFonts w:eastAsia="华文中宋"/>
          <w:kern w:val="18"/>
          <w:position w:val="2"/>
          <w:vertAlign w:val="superscript"/>
        </w:rPr>
        <w:footnoteReference w:id="13"/>
      </w:r>
      <w:r w:rsidRPr="00C77C3A">
        <w:rPr>
          <w:rFonts w:eastAsia="华文中宋" w:hint="eastAsia"/>
          <w:kern w:val="18"/>
          <w:position w:val="2"/>
          <w:vertAlign w:val="superscript"/>
        </w:rPr>
        <w:t xml:space="preserve"> </w:t>
      </w:r>
      <w:r w:rsidRPr="00C77C3A">
        <w:rPr>
          <w:rFonts w:ascii="宋体" w:cs="宋体" w:hint="eastAsia"/>
        </w:rPr>
        <w:t>及其第一附加议定书，</w:t>
      </w:r>
      <w:r w:rsidRPr="00C77C3A">
        <w:rPr>
          <w:rFonts w:eastAsia="华文中宋"/>
          <w:kern w:val="18"/>
          <w:position w:val="2"/>
          <w:vertAlign w:val="superscript"/>
        </w:rPr>
        <w:footnoteReference w:id="14"/>
      </w:r>
      <w:r w:rsidRPr="00C77C3A">
        <w:rPr>
          <w:rFonts w:eastAsia="华文中宋" w:hint="eastAsia"/>
          <w:kern w:val="18"/>
          <w:position w:val="2"/>
          <w:vertAlign w:val="superscript"/>
        </w:rPr>
        <w:t xml:space="preserve"> </w:t>
      </w:r>
      <w:r w:rsidRPr="00C77C3A">
        <w:rPr>
          <w:rFonts w:ascii="宋体" w:cs="宋体" w:hint="eastAsia"/>
        </w:rPr>
        <w:t>必须追究这种暴力行为实施者的责任，这方面决不能存在有罪不罚现象，</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楷体_GB2312" w:eastAsia="楷体_GB2312" w:hAnsi="楷体_GB2312"/>
          <w:b/>
        </w:rPr>
        <w:tab/>
      </w:r>
      <w:r w:rsidRPr="00C77C3A">
        <w:rPr>
          <w:rFonts w:ascii="楷体_GB2312" w:eastAsia="楷体_GB2312" w:hAnsi="楷体_GB2312" w:cs="楷体_GB2312" w:hint="eastAsia"/>
          <w:b/>
        </w:rPr>
        <w:t>承认</w:t>
      </w:r>
      <w:r w:rsidRPr="00C77C3A">
        <w:rPr>
          <w:rFonts w:ascii="宋体" w:cs="宋体" w:hint="eastAsia"/>
        </w:rPr>
        <w:t>贩运人口是使妇女和女童面临家庭暴力等暴力行为侵害风险的一种跨国有组织犯罪行为，需要做出一致努力打击这种形式的犯罪行为，在这方面强调指出，充分有效执行《联合国打击跨国有组织犯罪公约关于预防、禁止和惩治贩运人口特别是妇女和儿童行为的补充议定书》</w:t>
      </w:r>
      <w:r w:rsidRPr="00C77C3A">
        <w:rPr>
          <w:rFonts w:eastAsia="华文中宋"/>
          <w:kern w:val="18"/>
          <w:position w:val="2"/>
          <w:vertAlign w:val="superscript"/>
        </w:rPr>
        <w:footnoteReference w:id="15"/>
      </w:r>
      <w:r w:rsidRPr="00C77C3A">
        <w:rPr>
          <w:rFonts w:eastAsia="华文中宋"/>
          <w:kern w:val="18"/>
          <w:position w:val="2"/>
          <w:vertAlign w:val="superscript"/>
        </w:rPr>
        <w:t xml:space="preserve"> </w:t>
      </w:r>
      <w:r w:rsidRPr="00C77C3A">
        <w:rPr>
          <w:rFonts w:ascii="宋体" w:cs="宋体" w:hint="eastAsia"/>
        </w:rPr>
        <w:t>和充分有效执行《联合国打击贩运人口行为全球行动计划》，</w:t>
      </w:r>
      <w:r w:rsidRPr="00C77C3A">
        <w:rPr>
          <w:rFonts w:eastAsia="华文中宋"/>
          <w:kern w:val="18"/>
          <w:position w:val="2"/>
          <w:vertAlign w:val="superscript"/>
        </w:rPr>
        <w:footnoteReference w:id="16"/>
      </w:r>
      <w:r w:rsidRPr="00C77C3A">
        <w:rPr>
          <w:rFonts w:eastAsia="华文中宋"/>
          <w:kern w:val="18"/>
          <w:position w:val="2"/>
          <w:vertAlign w:val="superscript"/>
        </w:rPr>
        <w:t xml:space="preserve"> </w:t>
      </w:r>
      <w:r w:rsidRPr="00C77C3A">
        <w:rPr>
          <w:rFonts w:ascii="宋体" w:cs="宋体" w:hint="eastAsia"/>
        </w:rPr>
        <w:t>将对消除一切形式暴力侵害妇女和女童行为包括家庭暴力起到促进作用</w:t>
      </w:r>
      <w:r w:rsidRPr="00C77C3A">
        <w:rPr>
          <w:rFonts w:ascii="宋体" w:hAnsi="宋体" w:cs="宋体" w:hint="eastAsia"/>
        </w:rPr>
        <w:t>，</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严重关切</w:t>
      </w:r>
      <w:r w:rsidRPr="00C77C3A">
        <w:rPr>
          <w:rFonts w:ascii="宋体" w:cs="宋体" w:hint="eastAsia"/>
        </w:rPr>
        <w:t>人数空前的难民和流离失所者在世界各地遭受暴力侵害，包括在从来源国前往抵达国的途中，并认识到难民、流离失所者和移民中的妇女和女童的特殊脆弱性，她们可能遭受歧视和剥削以及性、身体、心理和经济方面的虐待、家庭暴力等暴力行为、人口贩运和当代形式奴役的风险，</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又严重关切</w:t>
      </w:r>
      <w:r w:rsidRPr="00C77C3A">
        <w:rPr>
          <w:rFonts w:ascii="宋体" w:cs="宋体" w:hint="eastAsia"/>
        </w:rPr>
        <w:t>家庭暴力包括亲密伴侣间暴力依然是侵害世界各地所有社会阶层妇女的最普遍和最不易察觉的暴力形式，强调这种暴力行为侵犯、损害或妨碍了她们享有人权和基本自由，因此是不可接受的，</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侵害妇女和女童的家庭暴力会在身心健康包括性健康、生殖健康方面给个人和家庭带来严重的直接和长期影响并产生代际后果，</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又认识到</w:t>
      </w:r>
      <w:r w:rsidRPr="00C77C3A">
        <w:rPr>
          <w:rFonts w:ascii="宋体" w:cs="宋体" w:hint="eastAsia"/>
        </w:rPr>
        <w:t>家庭暴力对妇女行使经济和政治权利，包括获得就业、参与投票和担任公职的机会造成不利的影响，因此阻碍妇女赋权和经济独立，</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line="300" w:lineRule="exact"/>
        <w:ind w:left="1264" w:right="1264"/>
        <w:rPr>
          <w:rFonts w:ascii="宋体"/>
        </w:rPr>
      </w:pPr>
      <w:r w:rsidRPr="00C77C3A">
        <w:rPr>
          <w:rFonts w:ascii="宋体"/>
        </w:rPr>
        <w:tab/>
      </w:r>
      <w:r w:rsidRPr="00C77C3A">
        <w:rPr>
          <w:rFonts w:ascii="楷体_GB2312" w:eastAsia="楷体_GB2312" w:hAnsi="楷体_GB2312" w:cs="楷体_GB2312" w:hint="eastAsia"/>
          <w:b/>
        </w:rPr>
        <w:t>着重指出</w:t>
      </w:r>
      <w:r w:rsidRPr="00C77C3A">
        <w:rPr>
          <w:rFonts w:ascii="宋体" w:cs="宋体" w:hint="eastAsia"/>
        </w:rPr>
        <w:t>，羞耻、污名、害怕报复和不利的经济后果，如失去谋生手段或家庭收入减少，阻止许多妇女和女童脱离虐待关系，举报家庭暴力案件或担当证人，以及寻求这些罪行的补救措施和司法制裁，</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深为关切</w:t>
      </w:r>
      <w:r w:rsidRPr="00C77C3A">
        <w:rPr>
          <w:rFonts w:ascii="宋体" w:cs="宋体" w:hint="eastAsia"/>
        </w:rPr>
        <w:t>与性别相关杀害妇女和女童行为(在世界某些地区该行为又称杀害女性)往往不受惩罚，并认识到刑事司法系统在防止和应对与性别相关杀害妇女和女童行为方面的重要作用，包括在终结对此类犯罪有罪不罚方面的重要作用</w:t>
      </w:r>
      <w:r w:rsidRPr="00C77C3A">
        <w:rPr>
          <w:rFonts w:ascii="宋体" w:hAnsi="宋体" w:cs="宋体" w:hint="eastAsia"/>
        </w:rPr>
        <w:t>，</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童婚、早婚和逼婚使个人特别是女童处于终身面临和遭遇包括家庭暴力在内的各种形式的歧视和暴力行为的风险，严重威胁妇女和女童身心健康的众多方面，包括但不限于性健康和生殖健康，大大增加早孕、频繁怀孕、意外怀孕、孕产妇和新生儿死亡和发病、罹患产科瘘及感染艾滋病毒</w:t>
      </w:r>
      <w:r w:rsidRPr="00C77C3A">
        <w:rPr>
          <w:rFonts w:ascii="宋体"/>
        </w:rPr>
        <w:t>/</w:t>
      </w:r>
      <w:r w:rsidRPr="00C77C3A">
        <w:rPr>
          <w:rFonts w:ascii="宋体" w:cs="宋体" w:hint="eastAsia"/>
        </w:rPr>
        <w:t>艾滋病等性传播疾病的风险，同时使她们更易于遭受各种形式的暴力行为，而每一个有可能遭遇童婚、早婚和逼婚做法或受到这些做法影响的女童和妇女必须拥有平等机会获得负担得起的优质服务，例如教育、咨询、庇护及其他社会服务、心理保健、性保健和生殖保健服务、医疗护理以及法律援助，</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重申</w:t>
      </w:r>
      <w:r w:rsidRPr="00C77C3A">
        <w:rPr>
          <w:rFonts w:ascii="宋体" w:cs="宋体" w:hint="eastAsia"/>
        </w:rPr>
        <w:t>残割女性生殖器是一种有害的做法，也是侵害妇女和女童的暴力行为，损害其人权，严重威胁她们的健康和福祉，包括心理健康、性健康和生殖健康，增加她们感染艾滋病毒的危险，而且可能对分娩和产前保健造成有害影响，也会对母亲和新生儿带来致命后果，要废止这种有害做法，就要开展一场包括女童和男童及妇女和男子在内的社会上所有公私利益攸关方参加的全面运动，</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强调</w:t>
      </w:r>
      <w:r w:rsidRPr="00C77C3A">
        <w:rPr>
          <w:rFonts w:ascii="宋体" w:cs="宋体" w:hint="eastAsia"/>
        </w:rPr>
        <w:t>各国应当按照其国际法义务，尤其是相关国际人权义务及其承诺，继续通过和实施立法和政策，以全面方式处理暴力侵害妇女和女童的问题，为此不仅应将暴力侵害妇女和女童行为定为刑事罪，规定起诉行为人并追究他们的责任，还应纳入保护和预防措施，为受害者和幸存者提供公正和有效补救的机会，并为执行工作划拨足够的经费，</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各国有义务在各级促进、保护和尊重包括妇女和女童在内所有人的所有人权和基本自由，必须恪尽职责地预防和调查一切形式暴力侵害妇女和女童的行为，起诉和追究行为人责任，消除有罪不罚现象，并为受害者和幸存者提供获得适当补救的有效途径，此外应当确保为妇女和女童提供保护，包括适当执行民事补偿措施、保护令和刑事处罚，提供收容所、心理社会服务、咨询、保健和其他各种支助服务，以避免受害者再度受到伤害，促进建立赋权环境，并强调指出这样做有助于受暴力行为侵害的妇女和女童享受人权和基本自由，</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欢迎</w:t>
      </w:r>
      <w:r w:rsidRPr="00C77C3A">
        <w:rPr>
          <w:rFonts w:ascii="宋体" w:cs="宋体" w:hint="eastAsia"/>
        </w:rPr>
        <w:t>民间社会，包括妇女组织和社区组织、女权团体、妇女人权维护者、女童和青年领导的组织、国家人权机构(如果有)、宗教领袖、宗教组织、活跃于家庭领域的组织、私营部门、雇主组织、工会、媒体、男子和男童作出了重大贡献，努力消除包括家庭暴力在内的一切形式暴力侵害妇女和女童行为，并认识到在以促进性别平等的方式执行地方、国家、区域和国际议程包括《</w:t>
      </w:r>
      <w:r w:rsidRPr="00C77C3A">
        <w:rPr>
          <w:rFonts w:ascii="宋体"/>
        </w:rPr>
        <w:t>2030</w:t>
      </w:r>
      <w:r w:rsidRPr="00C77C3A">
        <w:rPr>
          <w:rFonts w:ascii="宋体" w:cs="宋体" w:hint="eastAsia"/>
        </w:rPr>
        <w:t>年可持续发展议程》时，必须开放、包容和透明地接触这些行为体，</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需要充分动员男子和男童作为变革推动者和受益者参与实现性别平等和增强妇女和女童权能，并作为同盟者参与防止和消除暴力侵害妇女和女童行为包括家庭暴力行为</w:t>
      </w:r>
      <w:r w:rsidRPr="00C77C3A">
        <w:rPr>
          <w:rFonts w:ascii="宋体" w:hAnsi="宋体" w:cs="宋体" w:hint="eastAsia"/>
        </w:rPr>
        <w:t>，</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楷体_GB2312" w:eastAsia="楷体_GB2312" w:hAnsi="楷体_GB2312" w:cs="楷体_GB2312" w:hint="eastAsia"/>
          <w:b/>
        </w:rPr>
        <w:t>认识到</w:t>
      </w:r>
      <w:r w:rsidRPr="00C77C3A">
        <w:rPr>
          <w:rFonts w:ascii="宋体" w:cs="宋体" w:hint="eastAsia"/>
        </w:rPr>
        <w:t>家庭成员在打击暴力侵害妇女和女童行为包括家庭暴力行为中能作出关键贡献，而且家庭在防止这种暴力行为方面能起重要作用，</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w:t>
      </w:r>
      <w:r w:rsidRPr="00C77C3A">
        <w:rPr>
          <w:rFonts w:ascii="宋体"/>
        </w:rPr>
        <w:tab/>
      </w:r>
      <w:r w:rsidRPr="00C77C3A">
        <w:rPr>
          <w:rFonts w:ascii="楷体_GB2312" w:eastAsia="楷体_GB2312" w:hAnsi="楷体_GB2312" w:cs="楷体_GB2312" w:hint="eastAsia"/>
          <w:b/>
        </w:rPr>
        <w:t>促请</w:t>
      </w:r>
      <w:r w:rsidRPr="00C77C3A">
        <w:rPr>
          <w:rFonts w:ascii="宋体" w:cs="宋体" w:hint="eastAsia"/>
        </w:rPr>
        <w:t>所有国家执行《</w:t>
      </w:r>
      <w:r w:rsidRPr="00C77C3A">
        <w:rPr>
          <w:rFonts w:ascii="宋体"/>
        </w:rPr>
        <w:t>2030</w:t>
      </w:r>
      <w:r w:rsidRPr="00C77C3A">
        <w:rPr>
          <w:rFonts w:ascii="宋体" w:cs="宋体" w:hint="eastAsia"/>
        </w:rPr>
        <w:t>年可持续发展议程》</w:t>
      </w:r>
      <w:r w:rsidRPr="00C77C3A">
        <w:rPr>
          <w:rFonts w:eastAsia="华文中宋"/>
          <w:kern w:val="18"/>
          <w:position w:val="2"/>
          <w:vertAlign w:val="superscript"/>
        </w:rPr>
        <w:fldChar w:fldCharType="begin"/>
      </w:r>
      <w:r w:rsidRPr="00C77C3A">
        <w:rPr>
          <w:rFonts w:eastAsia="华文中宋"/>
          <w:kern w:val="18"/>
          <w:position w:val="2"/>
          <w:vertAlign w:val="superscript"/>
        </w:rPr>
        <w:instrText xml:space="preserve"> </w:instrText>
      </w:r>
      <w:r w:rsidRPr="00C77C3A">
        <w:rPr>
          <w:rFonts w:eastAsia="华文中宋" w:hint="eastAsia"/>
          <w:kern w:val="18"/>
          <w:position w:val="2"/>
          <w:vertAlign w:val="superscript"/>
        </w:rPr>
        <w:instrText>NOTEREF _Ref468873776 \h</w:instrText>
      </w:r>
      <w:r w:rsidRPr="00C77C3A">
        <w:rPr>
          <w:rFonts w:eastAsia="华文中宋"/>
          <w:kern w:val="18"/>
          <w:position w:val="2"/>
          <w:vertAlign w:val="superscript"/>
        </w:rPr>
        <w:instrText xml:space="preserve">  \* MERGEFORMAT </w:instrText>
      </w:r>
      <w:r w:rsidRPr="00C77C3A">
        <w:rPr>
          <w:rFonts w:eastAsia="华文中宋"/>
          <w:kern w:val="18"/>
          <w:position w:val="2"/>
          <w:vertAlign w:val="superscript"/>
        </w:rPr>
      </w:r>
      <w:r w:rsidRPr="00C77C3A">
        <w:rPr>
          <w:rFonts w:eastAsia="华文中宋"/>
          <w:kern w:val="18"/>
          <w:position w:val="2"/>
          <w:vertAlign w:val="superscript"/>
        </w:rPr>
        <w:fldChar w:fldCharType="separate"/>
      </w:r>
      <w:r w:rsidRPr="00C77C3A">
        <w:rPr>
          <w:rFonts w:eastAsia="华文中宋"/>
          <w:kern w:val="18"/>
          <w:position w:val="2"/>
          <w:vertAlign w:val="superscript"/>
        </w:rPr>
        <w:t>12</w:t>
      </w:r>
      <w:r w:rsidRPr="00C77C3A">
        <w:rPr>
          <w:rFonts w:eastAsia="华文中宋"/>
          <w:kern w:val="18"/>
          <w:position w:val="2"/>
          <w:vertAlign w:val="superscript"/>
        </w:rPr>
        <w:fldChar w:fldCharType="end"/>
      </w:r>
      <w:r w:rsidRPr="00C77C3A">
        <w:rPr>
          <w:rFonts w:eastAsia="华文中宋" w:hint="eastAsia"/>
          <w:kern w:val="18"/>
          <w:position w:val="2"/>
          <w:vertAlign w:val="superscript"/>
        </w:rPr>
        <w:t xml:space="preserve"> </w:t>
      </w:r>
      <w:r w:rsidRPr="00C77C3A">
        <w:rPr>
          <w:rFonts w:ascii="宋体" w:cs="宋体" w:hint="eastAsia"/>
        </w:rPr>
        <w:t>所载承诺，消除公共和私营部门针对妇女和女童一切形式的暴力行为；</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w:t>
      </w: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暴力侵害妇女行为”一词是指对妇女和女童造成或可能造成身心方面、性方面或经济方面伤害或痛苦的任何性别暴力行为，包括威胁施行这类行为、协迫或任意剥夺自由，不论其发生在公共生活还是私人生活中，包括在网络上，并且注意到此类暴力造成的经济和社会伤害；</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3.</w:t>
      </w:r>
      <w:r w:rsidRPr="00C77C3A">
        <w:rPr>
          <w:rFonts w:ascii="宋体"/>
        </w:rPr>
        <w:tab/>
      </w:r>
      <w:r w:rsidRPr="00C77C3A">
        <w:rPr>
          <w:rFonts w:ascii="楷体_GB2312" w:eastAsia="楷体_GB2312" w:hAnsi="楷体_GB2312" w:cs="楷体_GB2312" w:hint="eastAsia"/>
          <w:b/>
        </w:rPr>
        <w:t>确认</w:t>
      </w:r>
      <w:r w:rsidRPr="00C77C3A">
        <w:rPr>
          <w:rFonts w:ascii="宋体" w:cs="宋体" w:hint="eastAsia"/>
        </w:rPr>
        <w:t>暴力侵害妇女和女童的行为是一种形式的歧视，严重限制她们享受人权和基本自由的能力，其根源是性别不平等、根深蒂固的消极社会规范和陈规定型观念、贫穷、经济、社会和文化领域的不平等及男女之间权力关系不平等；</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4.</w:t>
      </w: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家庭暴力可以有多种不同形式，包括身心方面和性方面的暴力、经济剥夺和孤立以及忽视，并发生在家庭或家庭单位内，通常发生在现任或前任伴侣或有血亲关系或亲密关系的个人之间；</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5.</w:t>
      </w:r>
      <w:r w:rsidRPr="00C77C3A">
        <w:rPr>
          <w:rFonts w:ascii="宋体"/>
        </w:rPr>
        <w:tab/>
      </w:r>
      <w:r w:rsidRPr="00C77C3A">
        <w:rPr>
          <w:rFonts w:ascii="楷体_GB2312" w:eastAsia="楷体_GB2312" w:hAnsi="楷体_GB2312" w:cs="楷体_GB2312" w:hint="eastAsia"/>
          <w:b/>
        </w:rPr>
        <w:t>强烈谴责</w:t>
      </w:r>
      <w:r w:rsidRPr="00C77C3A">
        <w:rPr>
          <w:rFonts w:ascii="宋体" w:cs="宋体" w:hint="eastAsia"/>
        </w:rPr>
        <w:t>一切形式暴力侵害妇女和女童行为，包括家庭暴力行为，同时认识到这种行为阻碍实现性别平等和充分实现妇女和女童的人权，并表示关切家庭暴力是暴力侵害妇女和女童的最常见和最不易察觉的形式，其后果持久而深远，并且影响到受害者生活的许多领域；</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6.</w:t>
      </w:r>
      <w:r w:rsidRPr="00C77C3A">
        <w:rPr>
          <w:rFonts w:ascii="宋体"/>
        </w:rPr>
        <w:tab/>
      </w:r>
      <w:r w:rsidRPr="00C77C3A">
        <w:rPr>
          <w:rFonts w:ascii="楷体_GB2312" w:eastAsia="楷体_GB2312" w:hAnsi="楷体_GB2312" w:cs="楷体_GB2312" w:hint="eastAsia"/>
          <w:b/>
          <w:sz w:val="20"/>
        </w:rPr>
        <w:t>认识到</w:t>
      </w:r>
      <w:r w:rsidRPr="00C77C3A">
        <w:rPr>
          <w:rFonts w:ascii="宋体" w:cs="宋体" w:hint="eastAsia"/>
        </w:rPr>
        <w:t>暴力侵害妇女和女童行为在世界每个国家持续存在，而且很普遍，这种行为侵犯、践踏或损害人权，严重妨碍实现性别平等和增强所有妇女和女童的权能、可持续发展、和平、安全及国际商定的发展目标，尤其是《</w:t>
      </w:r>
      <w:r w:rsidRPr="00C77C3A">
        <w:rPr>
          <w:rFonts w:ascii="宋体"/>
        </w:rPr>
        <w:t>2030</w:t>
      </w:r>
      <w:r w:rsidRPr="00C77C3A">
        <w:rPr>
          <w:rFonts w:ascii="宋体" w:cs="宋体" w:hint="eastAsia"/>
        </w:rPr>
        <w:t>年可持续发展议程》；</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7.</w:t>
      </w:r>
      <w:r w:rsidRPr="00C77C3A">
        <w:rPr>
          <w:rFonts w:ascii="宋体"/>
        </w:rPr>
        <w:tab/>
      </w:r>
      <w:r w:rsidRPr="00C77C3A">
        <w:rPr>
          <w:rFonts w:ascii="楷体_GB2312" w:eastAsia="楷体_GB2312" w:hAnsi="楷体_GB2312" w:cs="楷体_GB2312" w:hint="eastAsia"/>
          <w:b/>
        </w:rPr>
        <w:t>敦促</w:t>
      </w:r>
      <w:r w:rsidRPr="00C77C3A">
        <w:rPr>
          <w:rFonts w:ascii="宋体" w:cs="宋体" w:hint="eastAsia"/>
        </w:rPr>
        <w:t>各国谴责包括家庭暴力在内的暴力侵害妇女和女童行为，重申它们不应援引任何习俗、传统或宗教考虑为由逃避消除上述行为的义务，并应依照《消除对妇女的暴力行为宣言》</w:t>
      </w:r>
      <w:r w:rsidRPr="00C77C3A">
        <w:rPr>
          <w:rFonts w:ascii="宋体"/>
        </w:rPr>
        <w:fldChar w:fldCharType="begin"/>
      </w:r>
      <w:r w:rsidRPr="00C77C3A">
        <w:rPr>
          <w:rFonts w:eastAsia="华文中宋"/>
          <w:kern w:val="18"/>
          <w:position w:val="2"/>
          <w:vertAlign w:val="superscript"/>
        </w:rPr>
        <w:instrText xml:space="preserve"> NOTEREF _Ref470094222 \h </w:instrText>
      </w:r>
      <w:r w:rsidRPr="00C77C3A">
        <w:rPr>
          <w:rFonts w:ascii="宋体"/>
        </w:rPr>
      </w:r>
      <w:r w:rsidRPr="00C77C3A">
        <w:rPr>
          <w:rFonts w:ascii="宋体"/>
        </w:rPr>
        <w:fldChar w:fldCharType="separate"/>
      </w:r>
      <w:r w:rsidRPr="00C77C3A">
        <w:rPr>
          <w:rFonts w:eastAsia="华文中宋"/>
          <w:kern w:val="18"/>
          <w:position w:val="2"/>
          <w:vertAlign w:val="superscript"/>
        </w:rPr>
        <w:t>8</w:t>
      </w:r>
      <w:r w:rsidRPr="00C77C3A">
        <w:rPr>
          <w:rFonts w:ascii="宋体"/>
        </w:rPr>
        <w:fldChar w:fldCharType="end"/>
      </w:r>
      <w:r w:rsidRPr="00C77C3A">
        <w:rPr>
          <w:rFonts w:eastAsia="华文中宋" w:hint="eastAsia"/>
          <w:kern w:val="18"/>
          <w:position w:val="2"/>
          <w:vertAlign w:val="superscript"/>
        </w:rPr>
        <w:t xml:space="preserve"> </w:t>
      </w:r>
      <w:r w:rsidRPr="00C77C3A">
        <w:rPr>
          <w:rFonts w:ascii="宋体" w:cs="宋体" w:hint="eastAsia"/>
        </w:rPr>
        <w:t>的规定，以一切适当手段尽快采取消除暴力侵害妇女行为的政策；</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8.</w:t>
      </w: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尽管世界各地许多国家采取了重要步骤，各国应继续注重防止和消除一切形式暴力侵害妇女和女童行为，并且注重保护她们、增强其权能以及提供服务，因此应执行制止一切形式暴力侵害妇女和女童行为的法律、政策和方案，并监测和着力评价它们的执行情况，尽可能提高其影响、可利用性和效力；</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9.</w:t>
      </w:r>
      <w:r w:rsidRPr="00C77C3A">
        <w:rPr>
          <w:rFonts w:ascii="宋体"/>
        </w:rPr>
        <w:tab/>
      </w:r>
      <w:r w:rsidRPr="00C77C3A">
        <w:rPr>
          <w:rFonts w:ascii="楷体_GB2312" w:eastAsia="楷体_GB2312" w:hAnsi="楷体_GB2312" w:cs="楷体_GB2312" w:hint="eastAsia"/>
          <w:b/>
        </w:rPr>
        <w:t>又强调指出</w:t>
      </w:r>
      <w:r w:rsidRPr="00C77C3A">
        <w:rPr>
          <w:rFonts w:ascii="宋体" w:cs="宋体" w:hint="eastAsia"/>
        </w:rPr>
        <w:t>，必须确保在武装冲突、冲突后局势以及自然灾害情况中，优先注重和有效处理防止和应对一切形式暴力侵害妇女和女童行为包括性暴力和性别暴力行为的问题，包括酌情为此调查、起诉和惩处犯罪行为人以消除有罪不罚现象，排除妇女诉诸法律的障碍，建立投诉和报告机制，并向受害者和幸存者提供支助；</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10.</w:t>
      </w:r>
      <w:r w:rsidRPr="00C77C3A">
        <w:rPr>
          <w:rFonts w:ascii="宋体"/>
        </w:rPr>
        <w:tab/>
      </w:r>
      <w:r w:rsidRPr="00C77C3A">
        <w:rPr>
          <w:rFonts w:ascii="楷体_GB2312" w:eastAsia="楷体_GB2312" w:hAnsi="楷体_GB2312" w:cs="楷体_GB2312" w:hint="eastAsia"/>
          <w:b/>
        </w:rPr>
        <w:t>还强调指出</w:t>
      </w:r>
      <w:r w:rsidRPr="00C77C3A">
        <w:rPr>
          <w:rFonts w:ascii="宋体" w:cs="宋体" w:hint="eastAsia"/>
        </w:rPr>
        <w:t>在执行《</w:t>
      </w:r>
      <w:r w:rsidRPr="00C77C3A">
        <w:rPr>
          <w:rFonts w:ascii="宋体"/>
        </w:rPr>
        <w:t>2030</w:t>
      </w:r>
      <w:r w:rsidRPr="00C77C3A">
        <w:rPr>
          <w:rFonts w:ascii="宋体" w:cs="宋体" w:hint="eastAsia"/>
        </w:rPr>
        <w:t>年可持续发展议程》时必须不让任何人掉队，在这方面认识到难民和移民妇女和女童面临挑战，需要保护她们并增强其权能，包括在冲突中国家和冲突后局势中采取这种做法，还需要加强收容难民社区的复原能力，特别指出必须向这些社区特别是发展中国家的这些社区提供发展支助；</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11.</w:t>
      </w: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需要处理使妇女和女童更容易遭受剥削、暴力和虐待的基于相互交叉的多重因素的歧视，并采取适当行动增强她们的权能和保护她们；</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12.</w:t>
      </w:r>
      <w:r w:rsidRPr="00C77C3A">
        <w:rPr>
          <w:rFonts w:ascii="宋体" w:hint="eastAsia"/>
        </w:rPr>
        <w:tab/>
      </w:r>
      <w:r w:rsidRPr="00C77C3A">
        <w:rPr>
          <w:rFonts w:ascii="楷体_GB2312" w:eastAsia="楷体_GB2312" w:hAnsi="楷体_GB2312" w:cs="楷体_GB2312" w:hint="eastAsia"/>
          <w:b/>
        </w:rPr>
        <w:t>认识到</w:t>
      </w:r>
      <w:r w:rsidRPr="00C77C3A">
        <w:rPr>
          <w:rFonts w:ascii="宋体" w:cs="宋体" w:hint="eastAsia"/>
        </w:rPr>
        <w:t>包括家庭暴力在内的暴力侵害妇女和女童行为的形式既可以是一个孤立的行为，也可以是可能在一段时间内发生的虐待行为模式，该行为作为一种模式构成暴力侵害妇女和女童行为，而且可能发生在数字空间和在线空间，包括网络欺凌和网络跟踪；</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13.</w:t>
      </w:r>
      <w:r>
        <w:rPr>
          <w:rFonts w:ascii="宋体" w:hint="eastAsia"/>
        </w:rPr>
        <w:tab/>
      </w:r>
      <w:r w:rsidRPr="00C77C3A">
        <w:rPr>
          <w:rFonts w:ascii="楷体_GB2312" w:eastAsia="楷体_GB2312" w:hAnsi="楷体_GB2312" w:cs="楷体_GB2312" w:hint="eastAsia"/>
          <w:b/>
        </w:rPr>
        <w:t>注意到</w:t>
      </w:r>
      <w:r w:rsidRPr="00C77C3A">
        <w:rPr>
          <w:rFonts w:ascii="宋体" w:cs="宋体" w:hint="eastAsia"/>
        </w:rPr>
        <w:t>民间社会组织在消除暴力侵害妇女行为包括家庭暴力方面的努力可以补充各国政府在这方面的努力，为此敦促各国尽可能支持旨在促进性别平等和防止、应对、保护妇女和女童免受家庭暴力的倡议；</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14.</w:t>
      </w:r>
      <w:r w:rsidRPr="00C77C3A">
        <w:rPr>
          <w:rFonts w:ascii="宋体"/>
        </w:rPr>
        <w:tab/>
      </w:r>
      <w:r w:rsidRPr="00C77C3A">
        <w:rPr>
          <w:rFonts w:ascii="楷体_GB2312" w:eastAsia="楷体_GB2312" w:hAnsi="楷体_GB2312" w:cs="楷体_GB2312" w:hint="eastAsia"/>
          <w:b/>
        </w:rPr>
        <w:t>促请</w:t>
      </w:r>
      <w:r w:rsidRPr="00C77C3A">
        <w:rPr>
          <w:rFonts w:ascii="宋体" w:cs="宋体" w:hint="eastAsia"/>
        </w:rPr>
        <w:t>各国采取有效行动，毫不拖延地防止和消除家庭暴力，包括为此：</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spacing w:val="-4"/>
        </w:rPr>
      </w:pPr>
      <w:r w:rsidRPr="00C77C3A">
        <w:rPr>
          <w:rFonts w:ascii="宋体"/>
        </w:rPr>
        <w:tab/>
        <w:t>(a)</w:t>
      </w:r>
      <w:r w:rsidRPr="00C77C3A">
        <w:rPr>
          <w:rFonts w:ascii="宋体"/>
        </w:rPr>
        <w:tab/>
      </w:r>
      <w:r w:rsidRPr="00C77C3A">
        <w:rPr>
          <w:rFonts w:ascii="宋体" w:cs="宋体" w:hint="eastAsia"/>
          <w:spacing w:val="-4"/>
        </w:rPr>
        <w:t>通过、加强和执行禁止家庭暴力的立法，充分惩处家庭内部发生的涉及人身暴力、性暴力、心理暴力以及经济暴力的罪行，并确立针对这类暴力行为的适当法律保护措施，包括保护提出控诉或提供证据的受害者和证人免受报复的措施；</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(b)</w:t>
      </w:r>
      <w:r w:rsidRPr="00C77C3A">
        <w:rPr>
          <w:rFonts w:ascii="宋体"/>
        </w:rPr>
        <w:tab/>
      </w:r>
      <w:r w:rsidRPr="00C77C3A">
        <w:rPr>
          <w:rFonts w:ascii="宋体" w:cs="宋体" w:hint="eastAsia"/>
        </w:rPr>
        <w:t>防止违反行为，并采取步骤防止践踏妇女和女童的所有人权，特别重视废止歧视妇女和女童的做法和法律，适当时包括民法、刑法和个人地位法律中关于婚姻和家庭关系的规定，消除偏见、有害做法和性别陈规定型观念，并在妇女和女童的一生过程中，在各级提高对包括家庭暴力在内的暴力侵害妇女和女童行为的不可接受性的认识；</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(c)</w:t>
      </w:r>
      <w:r w:rsidRPr="00C77C3A">
        <w:rPr>
          <w:rFonts w:ascii="宋体"/>
        </w:rPr>
        <w:tab/>
      </w:r>
      <w:r w:rsidRPr="00C77C3A">
        <w:rPr>
          <w:rFonts w:ascii="宋体" w:cs="宋体" w:hint="eastAsia"/>
        </w:rPr>
        <w:t>加紧努力，制订、审查和强化包容性和促进性别平等的政策，包括为此：分配足够的资源以解决对妇女和女童实施家庭暴力的结构性和根本性原因，克服性别陈规定型观念和消极的社会规范，鼓励媒体审视性别角色定型观念的影响，包括助长性别暴力、性剥削和不平等的商业广告长期宣扬的上述观念，促进对此类暴力行为的零容忍并消除暴力行为受害者和幸存者的污名化，从而创造一个有利和无障碍环境，使妇女和女童易于举报暴力事件和使用保护及援助方案等现有服务；</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(d)</w:t>
      </w:r>
      <w:r w:rsidRPr="00C77C3A">
        <w:rPr>
          <w:rFonts w:ascii="宋体"/>
        </w:rPr>
        <w:tab/>
      </w:r>
      <w:r w:rsidRPr="00C77C3A">
        <w:rPr>
          <w:rFonts w:ascii="宋体" w:cs="宋体" w:hint="eastAsia"/>
        </w:rPr>
        <w:t>采取措施，确保负责执行旨在防止包括家庭暴力在内的暴力侵害妇女和女童行为、保护和援助受害者及调查和惩处暴力行为的政策和方案的所有官员接受持续、适当和对性别和文化敏感的培训，了解具体性别需要以及家庭暴力的根源及短期和长期影响；</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(e)</w:t>
      </w:r>
      <w:r w:rsidRPr="00C77C3A">
        <w:rPr>
          <w:rFonts w:ascii="宋体"/>
        </w:rPr>
        <w:tab/>
      </w:r>
      <w:r w:rsidRPr="00C77C3A">
        <w:rPr>
          <w:rFonts w:ascii="宋体" w:cs="宋体" w:hint="eastAsia"/>
        </w:rPr>
        <w:t>评价和评估关于包括家庭暴力在内的暴力侵害妇女和女童行为的现行立法、规则和程序的影响，以确保诉诸法律的机会、提高举报率以及解决从举报到定罪过程中销案率居高不下的问题，必要时加强关于包括家庭暴力在内的一切形式暴力侵害妇女和女童行为的刑法和程序，侧重于预防工作、保护妇女以及使受害者易于获得有效补救；</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(f)</w:t>
      </w:r>
      <w:r w:rsidRPr="00C77C3A">
        <w:rPr>
          <w:rFonts w:ascii="宋体"/>
        </w:rPr>
        <w:tab/>
      </w:r>
      <w:r w:rsidRPr="00C77C3A">
        <w:rPr>
          <w:rFonts w:ascii="宋体" w:cs="宋体" w:hint="eastAsia"/>
        </w:rPr>
        <w:t>确保根据《国际人口与发展会议行动纲领》、</w:t>
      </w:r>
      <w:r w:rsidRPr="00C77C3A">
        <w:rPr>
          <w:rFonts w:eastAsia="华文中宋"/>
          <w:kern w:val="18"/>
          <w:position w:val="2"/>
          <w:vertAlign w:val="superscript"/>
        </w:rPr>
        <w:fldChar w:fldCharType="begin"/>
      </w:r>
      <w:r w:rsidRPr="00C77C3A">
        <w:rPr>
          <w:rFonts w:eastAsia="华文中宋"/>
          <w:kern w:val="18"/>
          <w:position w:val="2"/>
          <w:vertAlign w:val="superscript"/>
        </w:rPr>
        <w:instrText xml:space="preserve"> </w:instrText>
      </w:r>
      <w:r w:rsidRPr="00C77C3A">
        <w:rPr>
          <w:rFonts w:eastAsia="华文中宋" w:hint="eastAsia"/>
          <w:kern w:val="18"/>
          <w:position w:val="2"/>
          <w:vertAlign w:val="superscript"/>
        </w:rPr>
        <w:instrText>NOTEREF _Ref468873803 \h</w:instrText>
      </w:r>
      <w:r w:rsidRPr="00C77C3A">
        <w:rPr>
          <w:rFonts w:eastAsia="华文中宋"/>
          <w:kern w:val="18"/>
          <w:position w:val="2"/>
          <w:vertAlign w:val="superscript"/>
        </w:rPr>
        <w:instrText xml:space="preserve">  \* MERGEFORMAT </w:instrText>
      </w:r>
      <w:r w:rsidRPr="00C77C3A">
        <w:rPr>
          <w:rFonts w:eastAsia="华文中宋"/>
          <w:kern w:val="18"/>
          <w:position w:val="2"/>
          <w:vertAlign w:val="superscript"/>
        </w:rPr>
      </w:r>
      <w:r w:rsidRPr="00C77C3A">
        <w:rPr>
          <w:rFonts w:eastAsia="华文中宋"/>
          <w:kern w:val="18"/>
          <w:position w:val="2"/>
          <w:vertAlign w:val="superscript"/>
        </w:rPr>
        <w:fldChar w:fldCharType="separate"/>
      </w:r>
      <w:r w:rsidRPr="00C77C3A">
        <w:rPr>
          <w:rFonts w:eastAsia="华文中宋"/>
          <w:kern w:val="18"/>
          <w:position w:val="2"/>
          <w:vertAlign w:val="superscript"/>
        </w:rPr>
        <w:t>10</w:t>
      </w:r>
      <w:r w:rsidRPr="00C77C3A">
        <w:rPr>
          <w:rFonts w:eastAsia="华文中宋"/>
          <w:kern w:val="18"/>
          <w:position w:val="2"/>
          <w:vertAlign w:val="superscript"/>
        </w:rPr>
        <w:fldChar w:fldCharType="end"/>
      </w:r>
      <w:r w:rsidRPr="00C77C3A">
        <w:rPr>
          <w:rFonts w:ascii="宋体" w:cs="宋体" w:hint="eastAsia"/>
        </w:rPr>
        <w:t>《北京行动纲要》</w:t>
      </w:r>
      <w:r w:rsidRPr="00C77C3A">
        <w:rPr>
          <w:rFonts w:eastAsia="华文中宋"/>
          <w:kern w:val="18"/>
          <w:position w:val="2"/>
          <w:vertAlign w:val="superscript"/>
        </w:rPr>
        <w:fldChar w:fldCharType="begin"/>
      </w:r>
      <w:r w:rsidRPr="00C77C3A">
        <w:rPr>
          <w:rFonts w:eastAsia="华文中宋"/>
          <w:kern w:val="18"/>
          <w:position w:val="2"/>
          <w:vertAlign w:val="superscript"/>
        </w:rPr>
        <w:instrText xml:space="preserve"> </w:instrText>
      </w:r>
      <w:r w:rsidRPr="00C77C3A">
        <w:rPr>
          <w:rFonts w:eastAsia="华文中宋" w:hint="eastAsia"/>
          <w:kern w:val="18"/>
          <w:position w:val="2"/>
          <w:vertAlign w:val="superscript"/>
        </w:rPr>
        <w:instrText>NOTEREF _Ref468873817 \h</w:instrText>
      </w:r>
      <w:r w:rsidRPr="00C77C3A">
        <w:rPr>
          <w:rFonts w:eastAsia="华文中宋"/>
          <w:kern w:val="18"/>
          <w:position w:val="2"/>
          <w:vertAlign w:val="superscript"/>
        </w:rPr>
        <w:instrText xml:space="preserve">  \* MERGEFORMAT </w:instrText>
      </w:r>
      <w:r w:rsidRPr="00C77C3A">
        <w:rPr>
          <w:rFonts w:eastAsia="华文中宋"/>
          <w:kern w:val="18"/>
          <w:position w:val="2"/>
          <w:vertAlign w:val="superscript"/>
        </w:rPr>
      </w:r>
      <w:r w:rsidRPr="00C77C3A">
        <w:rPr>
          <w:rFonts w:eastAsia="华文中宋"/>
          <w:kern w:val="18"/>
          <w:position w:val="2"/>
          <w:vertAlign w:val="superscript"/>
        </w:rPr>
        <w:fldChar w:fldCharType="separate"/>
      </w:r>
      <w:r w:rsidRPr="00C77C3A">
        <w:rPr>
          <w:rFonts w:eastAsia="华文中宋"/>
          <w:kern w:val="18"/>
          <w:position w:val="2"/>
          <w:vertAlign w:val="superscript"/>
        </w:rPr>
        <w:t>9</w:t>
      </w:r>
      <w:r w:rsidRPr="00C77C3A">
        <w:rPr>
          <w:rFonts w:eastAsia="华文中宋"/>
          <w:kern w:val="18"/>
          <w:position w:val="2"/>
          <w:vertAlign w:val="superscript"/>
        </w:rPr>
        <w:fldChar w:fldCharType="end"/>
      </w:r>
      <w:r w:rsidRPr="00C77C3A">
        <w:rPr>
          <w:rFonts w:eastAsia="华文中宋"/>
          <w:kern w:val="18"/>
          <w:position w:val="2"/>
          <w:vertAlign w:val="superscript"/>
        </w:rPr>
        <w:t xml:space="preserve"> </w:t>
      </w:r>
      <w:r w:rsidRPr="00C77C3A">
        <w:rPr>
          <w:rFonts w:ascii="宋体" w:cs="宋体" w:hint="eastAsia"/>
        </w:rPr>
        <w:t>及其审查会议的成果文件，促进和保护所有妇女的人权以及她们的性健康和生殖健康及生殖权利，包括为此制定和执行政策和法律框架及加强保健系统，以普及并提供优质和全面的性和生殖保健服务、商品、信息和教育，其中包括安全和有效的现代避孕方法、紧急避孕、预防少女怀孕方案、孕产妇保健如减少产科瘘管病和其他怀孕和分娩并发症的熟练助产护理和产科急诊、国内法允许的安全堕胎，以及防治生殖道感染、性传播感染、艾滋病毒和生殖系统癌症，同时确认人权包括有权自由和负责任地控制和决定与妇女性生活有关的事项，包括性和生殖健康，不受胁迫、歧视和暴力；</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15.</w:t>
      </w:r>
      <w:r w:rsidRPr="00C77C3A">
        <w:rPr>
          <w:rFonts w:ascii="宋体"/>
        </w:rPr>
        <w:tab/>
      </w:r>
      <w:r w:rsidRPr="00C77C3A">
        <w:rPr>
          <w:rFonts w:ascii="楷体_GB2312" w:eastAsia="楷体_GB2312" w:hAnsi="楷体_GB2312" w:cs="楷体_GB2312" w:hint="eastAsia"/>
          <w:b/>
          <w:spacing w:val="-6"/>
        </w:rPr>
        <w:t>敦促</w:t>
      </w:r>
      <w:r w:rsidRPr="00C77C3A">
        <w:rPr>
          <w:rFonts w:ascii="宋体" w:cs="宋体" w:hint="eastAsia"/>
          <w:spacing w:val="-6"/>
        </w:rPr>
        <w:t>各国消除结构性和根本性原因和风险因素，防止家庭暴力，包括为此：</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(a)</w:t>
      </w:r>
      <w:r w:rsidRPr="00C77C3A">
        <w:rPr>
          <w:rFonts w:ascii="宋体"/>
        </w:rPr>
        <w:tab/>
      </w:r>
      <w:r w:rsidRPr="00C77C3A">
        <w:rPr>
          <w:rFonts w:ascii="宋体" w:hAnsi="宋体" w:cs="宋体" w:hint="eastAsia"/>
        </w:rPr>
        <w:t>着力</w:t>
      </w:r>
      <w:r w:rsidRPr="00C77C3A">
        <w:rPr>
          <w:rFonts w:ascii="宋体" w:cs="宋体" w:hint="eastAsia"/>
        </w:rPr>
        <w:t>于充分实现受教育权，为此除其他外消除文盲，特别在农村和偏远地区制定公平、优质、包容和对性别敏感的教育方案，并缩小各级教育的性别差距以确保妇女和男子以及女童和男童都被赋予积极的非陈规定型角色，推动增强妇女和女童权能，并消除家庭暴力及所有其他形式的暴力侵害妇女和女童行为；</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(b)</w:t>
      </w:r>
      <w:r w:rsidRPr="00C77C3A">
        <w:rPr>
          <w:rFonts w:ascii="宋体"/>
        </w:rPr>
        <w:tab/>
      </w:r>
      <w:r w:rsidRPr="00C77C3A">
        <w:rPr>
          <w:rFonts w:ascii="宋体" w:cs="宋体" w:hint="eastAsia"/>
        </w:rPr>
        <w:t>强调男子和男童可在防止和消除暴力侵害妇女和女童行为包括家庭暴力中发挥重要作用，进一步制定和执行各项措施，以强化非暴力行为、态度和价值观，并鼓励男子和男童积极参与防止和消除一切形式暴力侵害和歧视妇女和女童行为，并成为战略伙伴和盟友，以打破代际暴力循环；</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(c)</w:t>
      </w:r>
      <w:r w:rsidRPr="00C77C3A">
        <w:rPr>
          <w:rFonts w:ascii="宋体"/>
        </w:rPr>
        <w:tab/>
      </w:r>
      <w:r w:rsidRPr="00C77C3A">
        <w:rPr>
          <w:rFonts w:ascii="宋体" w:cs="宋体" w:hint="eastAsia"/>
        </w:rPr>
        <w:t>促进所有利益攸关方认识到必须消除公共或私人生活中发生的所有形式的暴力侵害妇女和女童行为，并促进性别平等和增强妇女和女童的权能，途径包括在全国各地经常和反复开展和资助提高认识运动，以及通过其他方式促进预防和保护以及改变歧视性社会规范和性别陈规定型观念，将其作为综合预防战略的组成部分；</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(d)</w:t>
      </w:r>
      <w:r w:rsidRPr="00C77C3A">
        <w:rPr>
          <w:rFonts w:ascii="宋体"/>
        </w:rPr>
        <w:tab/>
      </w:r>
      <w:r w:rsidRPr="00C77C3A">
        <w:rPr>
          <w:rFonts w:ascii="宋体" w:cs="宋体" w:hint="eastAsia"/>
        </w:rPr>
        <w:t>采取措施增强妇女权能，包括为此加强她们的经济自立，确保她们充分和平等参与社会和决策进程，办法是通过和实施社会和经济政策，保障妇女充分和平等地获得优质教育和培训以及负担得起和适足的公共和社会服务，并且充分和平等地获得财政资源和体面工作及享有拥有、获取和控制土地和其他财产的充分、平等权利，保障妇女和女童的固有权利，并采取其他适当措施，处理无家可归妇女不断增多和妇女住房不足的问题，以降低她们易受暴力侵害的脆弱性；</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(e)</w:t>
      </w:r>
      <w:r w:rsidRPr="00C77C3A">
        <w:rPr>
          <w:rFonts w:ascii="宋体"/>
        </w:rPr>
        <w:tab/>
      </w:r>
      <w:r w:rsidRPr="00C77C3A">
        <w:rPr>
          <w:rFonts w:ascii="宋体" w:cs="宋体" w:hint="eastAsia"/>
        </w:rPr>
        <w:t>在教育领域采取各种适当措施，改变各个年龄层男女的社会和文化行为模式，从而推动发展相互尊重的关系，消除基于性别尊卑思想和男女角色定型观念的偏见、有害习俗和其他各种做法，并提高对各级和公共和私营部门中暴力侵害妇女和女童行为的不可接受性的认识；</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宋体" w:cs="宋体" w:hint="eastAsia"/>
        </w:rPr>
        <w:t>(</w:t>
      </w:r>
      <w:r w:rsidRPr="00C77C3A">
        <w:rPr>
          <w:rFonts w:ascii="宋体"/>
        </w:rPr>
        <w:t>f</w:t>
      </w:r>
      <w:r w:rsidRPr="00C77C3A">
        <w:rPr>
          <w:rFonts w:ascii="宋体" w:cs="宋体" w:hint="eastAsia"/>
        </w:rPr>
        <w:t>) 承诺加紧努力，与年轻人、父母、法律监护人、提供照料者、教育工作者和保健服务提供者开展全面伙伴合作，大幅扩大科学上准确的全面适龄教育，根据他们不断发展的能力，向校内外少男少女和青年男女提供关于性健康和生殖健康、性别平等和增强妇女权能、人权、身心发展和青春期发育以及男女权力关系的信息，使他们能培养自尊和知情决定、掌握交流和减少风险的技能并建立相互尊重的关系，从而消除家庭暴力；</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r>
      <w:r w:rsidRPr="00C77C3A">
        <w:rPr>
          <w:rFonts w:ascii="宋体" w:cs="宋体" w:hint="eastAsia"/>
        </w:rPr>
        <w:t>(</w:t>
      </w:r>
      <w:r w:rsidRPr="00C77C3A">
        <w:rPr>
          <w:rFonts w:ascii="宋体"/>
        </w:rPr>
        <w:t>g</w:t>
      </w:r>
      <w:r w:rsidRPr="00C77C3A">
        <w:rPr>
          <w:rFonts w:ascii="宋体" w:cs="宋体" w:hint="eastAsia"/>
        </w:rPr>
        <w:t>)</w:t>
      </w:r>
      <w:r w:rsidRPr="00C77C3A">
        <w:rPr>
          <w:rFonts w:ascii="宋体" w:cs="宋体" w:hint="eastAsia"/>
        </w:rPr>
        <w:tab/>
        <w:t>防止、打击和消除贩运妇女和女童行为，为此将一切形式贩运人口定为刑事罪，促使公众更加了解贩运人口特别是贩运妇女和女童的问题，包括使妇女和女童容易遭受贩运的各种因素，消除助长一切形式剥削和强迫劳动的需求；并酌情鼓励各种媒体发挥作用以杜绝剥削妇女和儿童行为；</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16.</w:t>
      </w:r>
      <w:r w:rsidRPr="00C77C3A">
        <w:rPr>
          <w:rFonts w:ascii="宋体"/>
        </w:rPr>
        <w:tab/>
      </w:r>
      <w:r w:rsidRPr="00C77C3A">
        <w:rPr>
          <w:rFonts w:ascii="楷体_GB2312" w:eastAsia="楷体_GB2312" w:hAnsi="楷体_GB2312" w:cs="楷体_GB2312" w:hint="eastAsia"/>
          <w:b/>
        </w:rPr>
        <w:t>又敦促</w:t>
      </w:r>
      <w:r w:rsidRPr="00C77C3A">
        <w:rPr>
          <w:rFonts w:ascii="宋体" w:cs="宋体" w:hint="eastAsia"/>
        </w:rPr>
        <w:t>各国采取有效行动，保护包括家庭暴力在内的一切形式暴力行为的受害者，包括为此：</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(a)</w:t>
      </w:r>
      <w:r w:rsidRPr="00C77C3A">
        <w:rPr>
          <w:rFonts w:ascii="宋体"/>
        </w:rPr>
        <w:tab/>
      </w:r>
      <w:r w:rsidRPr="00C77C3A">
        <w:rPr>
          <w:rFonts w:ascii="宋体" w:cs="宋体" w:hint="eastAsia"/>
        </w:rPr>
        <w:t>提供相关、全面和以受害者为中心的法律保护，在本国法律制度框架内以对性别问题敏感的方式支持和帮助家庭暴力受害者，包括酌情在整个刑事和民事司法系统内采取适当的立法或其他措施；</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(b)</w:t>
      </w:r>
      <w:r w:rsidRPr="00C77C3A">
        <w:rPr>
          <w:rFonts w:ascii="宋体"/>
        </w:rPr>
        <w:tab/>
      </w:r>
      <w:r w:rsidRPr="00C77C3A">
        <w:rPr>
          <w:rFonts w:ascii="宋体" w:cs="宋体" w:hint="eastAsia"/>
        </w:rPr>
        <w:t>为包括家庭暴力在内的一切形式暴力行为的所有受害者和幸存者建立全面、协调、跨学科、易于利用和持续的多部门服务、方案和对策，为其配备充足资源，并列入警察和司法部门以及法律援助服务、保健服务、医疗和心理援助、咨询服务和保护的提供者等相关利益攸关方酌情采取的有效和协调行动，同时在受害者为女童的案件中确保此类服务、方案和应对措施考虑儿童的最大利益；</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(c)</w:t>
      </w:r>
      <w:r w:rsidRPr="00C77C3A">
        <w:rPr>
          <w:rFonts w:ascii="宋体"/>
        </w:rPr>
        <w:tab/>
      </w:r>
      <w:r w:rsidRPr="00C77C3A">
        <w:rPr>
          <w:rFonts w:ascii="宋体" w:cs="宋体" w:hint="eastAsia"/>
        </w:rPr>
        <w:t>为受害者和幸存者提供获得适当补救的途径，确保保护妇女和女童并增强她们的权能，包括为此由警察和司法机构适当执行民事补救措施、保护令和刑事处罚；</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(d)</w:t>
      </w:r>
      <w:r w:rsidRPr="00C77C3A">
        <w:rPr>
          <w:rFonts w:ascii="宋体"/>
        </w:rPr>
        <w:tab/>
      </w:r>
      <w:r w:rsidRPr="00C77C3A">
        <w:rPr>
          <w:rFonts w:ascii="宋体" w:cs="宋体" w:hint="eastAsia"/>
        </w:rPr>
        <w:t>建立和</w:t>
      </w:r>
      <w:r w:rsidRPr="00C77C3A">
        <w:rPr>
          <w:rFonts w:ascii="宋体"/>
        </w:rPr>
        <w:t>(</w:t>
      </w:r>
      <w:r w:rsidRPr="00C77C3A">
        <w:rPr>
          <w:rFonts w:ascii="宋体" w:cs="宋体" w:hint="eastAsia"/>
        </w:rPr>
        <w:t>或</w:t>
      </w:r>
      <w:r w:rsidRPr="00C77C3A">
        <w:rPr>
          <w:rFonts w:ascii="宋体"/>
        </w:rPr>
        <w:t>)</w:t>
      </w:r>
      <w:r w:rsidRPr="00C77C3A">
        <w:rPr>
          <w:rFonts w:ascii="宋体" w:cs="宋体" w:hint="eastAsia"/>
        </w:rPr>
        <w:t>加强警察和医疗工作者的应对规程和程序，确保采取一切适当行动保护家庭暴力受害者，发现暴力行为并防止进一步的暴力行为和心理伤害，同时考虑到有必要确保和维护受害者的隐私权和保密性；</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(e)</w:t>
      </w:r>
      <w:r w:rsidRPr="00C77C3A">
        <w:rPr>
          <w:rFonts w:ascii="宋体"/>
        </w:rPr>
        <w:tab/>
      </w:r>
      <w:r w:rsidRPr="00C77C3A">
        <w:rPr>
          <w:rFonts w:ascii="宋体" w:cs="宋体" w:hint="eastAsia"/>
        </w:rPr>
        <w:t>制定措施并扩大现有此类措施，确保受害者和幸存者及其子女能够获得和使用有助于其完全恢复和重新融入社会并充分获得司法救助的服务、方案和机会；确保提供适当和及时的信息，说明现有的支助服务和法律措施，并尽可能使用她们能够理解和沟通的语言；</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17.</w:t>
      </w:r>
      <w:r w:rsidRPr="00C77C3A">
        <w:rPr>
          <w:rFonts w:ascii="宋体"/>
        </w:rPr>
        <w:tab/>
      </w:r>
      <w:r w:rsidRPr="00C77C3A">
        <w:rPr>
          <w:rFonts w:ascii="楷体_GB2312" w:eastAsia="楷体_GB2312" w:hAnsi="楷体_GB2312" w:cs="楷体_GB2312" w:hint="eastAsia"/>
          <w:b/>
        </w:rPr>
        <w:t>鼓励</w:t>
      </w:r>
      <w:r w:rsidRPr="00C77C3A">
        <w:rPr>
          <w:rFonts w:ascii="宋体" w:cs="宋体" w:hint="eastAsia"/>
        </w:rPr>
        <w:t>各国在国家统计局的参与下并且酌情与包括执法机构在内的其他行为体协作，为监测包括家庭暴力在内的一切形式暴力侵害妇女和女童行为系统地收集、分析和传播按性别、年龄和其他相关参数分列的数据，适当时包括来自警察机构、卫生部门和司法机构的行政数据，例如关于犯罪者与受害者之间关系以及地理位置的数据，以便有效地审查和执行法律、政策、战略、预防和保护措施，同时确保和维护受害人的隐私权和保密性；</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18.</w:t>
      </w:r>
      <w:r w:rsidRPr="00C77C3A">
        <w:rPr>
          <w:rFonts w:ascii="宋体"/>
        </w:rPr>
        <w:tab/>
      </w:r>
      <w:r w:rsidRPr="00C77C3A">
        <w:rPr>
          <w:rFonts w:ascii="楷体_GB2312" w:eastAsia="楷体_GB2312" w:hAnsi="楷体_GB2312" w:cs="楷体_GB2312" w:hint="eastAsia"/>
          <w:b/>
        </w:rPr>
        <w:t>敦促</w:t>
      </w:r>
      <w:r w:rsidRPr="00C77C3A">
        <w:rPr>
          <w:rFonts w:ascii="宋体" w:cs="宋体" w:hint="eastAsia"/>
        </w:rPr>
        <w:t>国际社会，包括联合国系统并酌情包括区域和次区域组织，支持各国努力推动增强妇女和女童权能及性别平等，以加强各国为消除包括家庭暴力在内的暴力侵害妇女和女童行为所作的努力，包括应要求协助制定和执行关于消除暴力侵害妇女和女童行为的国家行动计划，为此除其他外在考虑到国家优先事项的情况下提供官方发展援助和其他适当援助，例如推动交流有关准则、方法和最佳做法；</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19.</w:t>
      </w:r>
      <w:r w:rsidRPr="00C77C3A">
        <w:rPr>
          <w:rFonts w:ascii="宋体"/>
        </w:rPr>
        <w:tab/>
      </w:r>
      <w:r w:rsidRPr="00C77C3A">
        <w:rPr>
          <w:rFonts w:ascii="楷体_GB2312" w:eastAsia="楷体_GB2312" w:hAnsi="楷体_GB2312" w:cs="楷体_GB2312" w:hint="eastAsia"/>
          <w:b/>
        </w:rPr>
        <w:t>强调指出</w:t>
      </w:r>
      <w:r w:rsidRPr="00C77C3A">
        <w:rPr>
          <w:rFonts w:ascii="宋体" w:cs="宋体" w:hint="eastAsia"/>
        </w:rPr>
        <w:t>应在联合国系统内将适足资源划拨给联合国促进性别平等和增强妇女权能署</w:t>
      </w:r>
      <w:r w:rsidRPr="00C77C3A">
        <w:rPr>
          <w:rFonts w:ascii="宋体"/>
        </w:rPr>
        <w:t>(</w:t>
      </w:r>
      <w:r w:rsidRPr="00C77C3A">
        <w:rPr>
          <w:rFonts w:ascii="宋体" w:cs="宋体" w:hint="eastAsia"/>
        </w:rPr>
        <w:t>妇女署</w:t>
      </w:r>
      <w:r w:rsidRPr="00C77C3A">
        <w:rPr>
          <w:rFonts w:ascii="宋体"/>
        </w:rPr>
        <w:t>)</w:t>
      </w:r>
      <w:r w:rsidRPr="00C77C3A">
        <w:rPr>
          <w:rFonts w:ascii="宋体" w:cs="宋体" w:hint="eastAsia"/>
        </w:rPr>
        <w:t>，负责促进性别平等、增强妇女权能及妇女和女童人权的其他机关、专门机构、基金和方案，以及联合国全系统防止和消除包括家庭暴力在内的暴力侵害妇女和女童行为的各项工作，并促请联合国系统提供必要的支助和资源；</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20.</w:t>
      </w:r>
      <w:r w:rsidRPr="00C77C3A">
        <w:rPr>
          <w:rFonts w:ascii="宋体"/>
        </w:rPr>
        <w:tab/>
      </w:r>
      <w:r w:rsidRPr="00C77C3A">
        <w:rPr>
          <w:rFonts w:ascii="楷体_GB2312" w:eastAsia="楷体_GB2312" w:hAnsi="楷体_GB2312" w:cs="楷体_GB2312" w:hint="eastAsia"/>
          <w:b/>
        </w:rPr>
        <w:t>又强调指出</w:t>
      </w:r>
      <w:r w:rsidRPr="00C77C3A">
        <w:rPr>
          <w:rFonts w:ascii="宋体" w:cs="宋体" w:hint="eastAsia"/>
        </w:rPr>
        <w:t>秘书长关于暴力侵害妇女行为全球数据库的重要性，表示赞赏所有向该数据库提供信息，除其他外说明本国为消除暴力侵害妇女和女童行为及支助此类暴力行为受害人而订立的国家政策与法律框架的国家，大力鼓励所有国家定期向数据库提供最新信息，此外促请联合国系统所有相关实体继续应要求帮助各国汇编和经常更新有关信息，并加强包括民间社会在内的所有相关利益攸关方对数据库的了解；</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21.</w:t>
      </w:r>
      <w:r w:rsidRPr="00C77C3A">
        <w:rPr>
          <w:rFonts w:ascii="宋体"/>
        </w:rPr>
        <w:tab/>
      </w:r>
      <w:r w:rsidRPr="00C77C3A">
        <w:rPr>
          <w:rFonts w:ascii="楷体_GB2312" w:eastAsia="楷体_GB2312" w:hAnsi="楷体_GB2312" w:cs="楷体_GB2312" w:hint="eastAsia"/>
          <w:b/>
        </w:rPr>
        <w:t>肯定</w:t>
      </w:r>
      <w:r w:rsidRPr="00C77C3A">
        <w:rPr>
          <w:rFonts w:ascii="宋体" w:cs="宋体" w:hint="eastAsia"/>
        </w:rPr>
        <w:t>秘书处经济和社会事务部统计司应统计委员会要求为制定准则以支持会员国编制暴力侵害妇女和女童行为统计数据而做的工作；</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22.</w:t>
      </w:r>
      <w:r w:rsidRPr="00C77C3A">
        <w:rPr>
          <w:rFonts w:ascii="宋体"/>
        </w:rPr>
        <w:tab/>
      </w:r>
      <w:r w:rsidRPr="00C77C3A">
        <w:rPr>
          <w:rFonts w:ascii="楷体_GB2312" w:eastAsia="楷体_GB2312" w:hAnsi="楷体_GB2312" w:cs="楷体_GB2312" w:hint="eastAsia"/>
          <w:b/>
        </w:rPr>
        <w:t>促请</w:t>
      </w:r>
      <w:r w:rsidRPr="00C77C3A">
        <w:rPr>
          <w:rFonts w:ascii="宋体" w:cs="宋体" w:hint="eastAsia"/>
        </w:rPr>
        <w:t>联合国所有机关、实体、基金和方案及专门机构并邀请布雷顿森林机构在各级加紧努力，消除一切形式暴力侵害妇女和女童行为，并更好地协调工作，以进一步有效支持各国努力防止和消除对妇女和女童的家庭暴力；</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23.</w:t>
      </w:r>
      <w:r w:rsidRPr="00C77C3A">
        <w:rPr>
          <w:rFonts w:ascii="宋体"/>
        </w:rPr>
        <w:tab/>
      </w:r>
      <w:r w:rsidRPr="00C77C3A">
        <w:rPr>
          <w:rFonts w:ascii="楷体_GB2312" w:eastAsia="楷体_GB2312" w:hAnsi="楷体_GB2312" w:cs="楷体_GB2312" w:hint="eastAsia"/>
          <w:b/>
        </w:rPr>
        <w:t>请</w:t>
      </w:r>
      <w:r w:rsidRPr="00C77C3A">
        <w:rPr>
          <w:rFonts w:ascii="宋体" w:cs="宋体" w:hint="eastAsia"/>
        </w:rPr>
        <w:t>人权理事会暴力侵害妇女行为及其因果问题特别报告员向大会第七十二和七十三届会议提交年度报告；</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24.</w:t>
      </w:r>
      <w:r w:rsidRPr="00C77C3A">
        <w:rPr>
          <w:rFonts w:ascii="宋体"/>
        </w:rPr>
        <w:tab/>
      </w:r>
      <w:r w:rsidRPr="00C77C3A">
        <w:rPr>
          <w:rFonts w:ascii="楷体_GB2312" w:eastAsia="楷体_GB2312" w:hAnsi="楷体_GB2312" w:cs="楷体_GB2312" w:hint="eastAsia"/>
          <w:b/>
        </w:rPr>
        <w:t>请</w:t>
      </w:r>
      <w:r w:rsidRPr="00C77C3A">
        <w:rPr>
          <w:rFonts w:ascii="宋体" w:cs="宋体" w:hint="eastAsia"/>
        </w:rPr>
        <w:t>秘书长向大会第七十三届会议提交报告，其中载列：</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(a)</w:t>
      </w:r>
      <w:r w:rsidRPr="00C77C3A">
        <w:rPr>
          <w:rFonts w:ascii="宋体"/>
        </w:rPr>
        <w:tab/>
      </w:r>
      <w:r w:rsidRPr="00C77C3A">
        <w:rPr>
          <w:rFonts w:ascii="宋体" w:cs="宋体" w:hint="eastAsia"/>
        </w:rPr>
        <w:t>联合国各机关、基金和方案及专门机构提供的关于第</w:t>
      </w:r>
      <w:hyperlink r:id="rId27" w:history="1">
        <w:r w:rsidRPr="003E1C2F">
          <w:rPr>
            <w:rStyle w:val="ad"/>
            <w:rFonts w:ascii="宋体"/>
          </w:rPr>
          <w:t>69/147</w:t>
        </w:r>
      </w:hyperlink>
      <w:r w:rsidRPr="00C77C3A">
        <w:rPr>
          <w:rFonts w:ascii="宋体" w:cs="宋体" w:hint="eastAsia"/>
        </w:rPr>
        <w:t>号决议和本决议后续执行活动的资料，包括它们协助各国努力消除一切形式暴力侵害妇女和女童行为的资料；</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(b)</w:t>
      </w:r>
      <w:r w:rsidRPr="00C77C3A">
        <w:rPr>
          <w:rFonts w:ascii="宋体"/>
        </w:rPr>
        <w:tab/>
      </w:r>
      <w:r w:rsidRPr="00C77C3A">
        <w:rPr>
          <w:rFonts w:ascii="宋体" w:cs="宋体" w:hint="eastAsia"/>
        </w:rPr>
        <w:t>各国提供的关于本决议的后续执行活动的资料；</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25.</w:t>
      </w:r>
      <w:r w:rsidRPr="00C77C3A">
        <w:rPr>
          <w:rFonts w:ascii="宋体"/>
        </w:rPr>
        <w:tab/>
      </w:r>
      <w:r w:rsidRPr="00C77C3A">
        <w:rPr>
          <w:rFonts w:ascii="楷体_GB2312" w:eastAsia="楷体_GB2312" w:hAnsi="楷体_GB2312" w:cs="楷体_GB2312" w:hint="eastAsia"/>
          <w:b/>
        </w:rPr>
        <w:t>又请</w:t>
      </w:r>
      <w:r w:rsidRPr="00C77C3A">
        <w:rPr>
          <w:rFonts w:ascii="宋体" w:cs="宋体" w:hint="eastAsia"/>
        </w:rPr>
        <w:t>秘书长向妇女地位委员会第六十一和六十二届会议提出一份口头报告，列入联合国各机关、基金和方案及专门机构提供的资料，说明第</w:t>
      </w:r>
      <w:hyperlink r:id="rId28" w:history="1">
        <w:r w:rsidRPr="003E1C2F">
          <w:rPr>
            <w:rStyle w:val="ad"/>
            <w:rFonts w:ascii="宋体"/>
          </w:rPr>
          <w:t>67/144</w:t>
        </w:r>
      </w:hyperlink>
      <w:r w:rsidRPr="00C77C3A">
        <w:rPr>
          <w:rFonts w:ascii="宋体" w:cs="宋体" w:hint="eastAsia"/>
        </w:rPr>
        <w:t>和</w:t>
      </w:r>
      <w:hyperlink r:id="rId29" w:history="1">
        <w:r w:rsidRPr="003E1C2F">
          <w:rPr>
            <w:rStyle w:val="ad"/>
            <w:rFonts w:ascii="宋体"/>
          </w:rPr>
          <w:t>69/147</w:t>
        </w:r>
      </w:hyperlink>
      <w:r w:rsidRPr="00C77C3A">
        <w:rPr>
          <w:rFonts w:ascii="宋体" w:cs="宋体" w:hint="eastAsia"/>
        </w:rPr>
        <w:t>号决议及本决议的近期后续执行活动，并敦促联合国各机关、实体、基金和方案及专门机构从速为该报告提供资料；</w:t>
      </w:r>
    </w:p>
    <w:p w:rsidR="00C77C3A" w:rsidRPr="00C77C3A" w:rsidRDefault="00C77C3A" w:rsidP="00C77C3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宋体"/>
        </w:rPr>
      </w:pPr>
      <w:r w:rsidRPr="00C77C3A">
        <w:rPr>
          <w:rFonts w:ascii="宋体"/>
        </w:rPr>
        <w:tab/>
        <w:t>26.</w:t>
      </w:r>
      <w:r w:rsidRPr="00C77C3A">
        <w:rPr>
          <w:rFonts w:ascii="宋体"/>
        </w:rPr>
        <w:tab/>
      </w:r>
      <w:r w:rsidRPr="00C77C3A">
        <w:rPr>
          <w:rFonts w:ascii="楷体_GB2312" w:eastAsia="楷体_GB2312" w:hAnsi="楷体_GB2312" w:cs="楷体_GB2312" w:hint="eastAsia"/>
          <w:b/>
        </w:rPr>
        <w:t>决定</w:t>
      </w:r>
      <w:r w:rsidRPr="00C77C3A">
        <w:rPr>
          <w:rFonts w:ascii="宋体" w:cs="宋体" w:hint="eastAsia"/>
        </w:rPr>
        <w:t>在第七十三届会议题为“提高妇女地位”的项目下继续审议消除一切形式暴力侵害妇女和女童行为问题。</w:t>
      </w:r>
    </w:p>
    <w:p w:rsidR="00C77C3A" w:rsidRPr="00C77C3A" w:rsidRDefault="00C77C3A" w:rsidP="00C77C3A">
      <w:pPr>
        <w:spacing w:line="240" w:lineRule="auto"/>
        <w:jc w:val="left"/>
        <w:rPr>
          <w:kern w:val="0"/>
          <w:sz w:val="20"/>
        </w:rPr>
      </w:pPr>
    </w:p>
    <w:p w:rsidR="00C77C3A" w:rsidRPr="00C77C3A" w:rsidRDefault="00C77C3A" w:rsidP="00C77C3A">
      <w:pPr>
        <w:widowControl w:val="0"/>
        <w:adjustRightInd w:val="0"/>
        <w:spacing w:line="240" w:lineRule="auto"/>
        <w:ind w:left="1264" w:right="1264"/>
        <w:jc w:val="right"/>
        <w:textAlignment w:val="baseline"/>
        <w:rPr>
          <w:rFonts w:ascii="楷体_GB2312" w:eastAsia="楷体_GB2312" w:hAnsi="华文楷体"/>
          <w:kern w:val="24"/>
        </w:rPr>
      </w:pPr>
      <w:r w:rsidRPr="00C77C3A">
        <w:rPr>
          <w:rFonts w:ascii="楷体_GB2312" w:eastAsia="楷体_GB2312" w:hAnsi="华文楷体" w:hint="eastAsia"/>
          <w:kern w:val="24"/>
        </w:rPr>
        <w:t>2016年12月19日</w:t>
      </w:r>
    </w:p>
    <w:p w:rsidR="00C77C3A" w:rsidRPr="00C77C3A" w:rsidRDefault="00C77C3A" w:rsidP="00C77C3A">
      <w:pPr>
        <w:widowControl w:val="0"/>
        <w:adjustRightInd w:val="0"/>
        <w:spacing w:line="240" w:lineRule="auto"/>
        <w:ind w:left="1264" w:right="1264"/>
        <w:jc w:val="right"/>
        <w:textAlignment w:val="baseline"/>
        <w:rPr>
          <w:rFonts w:ascii="楷体_GB2312" w:eastAsia="楷体_GB2312" w:hAnsi="华文楷体"/>
          <w:kern w:val="24"/>
        </w:rPr>
      </w:pPr>
      <w:r w:rsidRPr="00C77C3A">
        <w:rPr>
          <w:rFonts w:ascii="楷体_GB2312" w:eastAsia="楷体_GB2312" w:hAnsi="华文楷体" w:hint="eastAsia"/>
          <w:kern w:val="24"/>
        </w:rPr>
        <w:t>第65次全体会议</w:t>
      </w:r>
    </w:p>
    <w:p w:rsidR="00C77C3A" w:rsidRPr="00C77C3A" w:rsidRDefault="00C77C3A" w:rsidP="00C77C3A">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28AD57AD" wp14:editId="1D094930">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77C3A" w:rsidRPr="00C77C3A" w:rsidSect="00A36926">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art" w:date="2017-02-08T09:53:00Z" w:initials="Start">
    <w:p w:rsidR="00A36926" w:rsidRDefault="00A36926">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NO&gt;&gt;N1645329C&lt;&lt;ODS JOB NO&gt;&gt;</w:t>
      </w:r>
    </w:p>
    <w:p w:rsidR="00A36926" w:rsidRDefault="00A36926">
      <w:pPr>
        <w:pStyle w:val="a7"/>
      </w:pPr>
      <w:r>
        <w:t>&lt;&lt;ODS DOC SYMBOL1&gt;&gt;A/RES/71/170&lt;&lt;ODS DOC SYMBOL1&gt;&gt;</w:t>
      </w:r>
    </w:p>
    <w:p w:rsidR="00A36926" w:rsidRDefault="00A36926">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24" w:rsidRDefault="00972324">
      <w:r>
        <w:separator/>
      </w:r>
    </w:p>
  </w:endnote>
  <w:endnote w:type="continuationSeparator" w:id="0">
    <w:p w:rsidR="00972324" w:rsidRDefault="0097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36926" w:rsidTr="00A36926">
      <w:tc>
        <w:tcPr>
          <w:tcW w:w="5028" w:type="dxa"/>
          <w:shd w:val="clear" w:color="auto" w:fill="auto"/>
        </w:tcPr>
        <w:p w:rsidR="00A36926" w:rsidRPr="00A36926" w:rsidRDefault="00A36926" w:rsidP="00A3692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16-21878 (C)</w:t>
          </w:r>
          <w:r>
            <w:rPr>
              <w:b w:val="0"/>
              <w:w w:val="103"/>
              <w:sz w:val="14"/>
            </w:rPr>
            <w:fldChar w:fldCharType="end"/>
          </w:r>
        </w:p>
      </w:tc>
      <w:tc>
        <w:tcPr>
          <w:tcW w:w="5028" w:type="dxa"/>
          <w:shd w:val="clear" w:color="auto" w:fill="auto"/>
        </w:tcPr>
        <w:p w:rsidR="00A36926" w:rsidRPr="00A36926" w:rsidRDefault="00A36926" w:rsidP="00A36926">
          <w:pPr>
            <w:pStyle w:val="ac"/>
            <w:jc w:val="left"/>
            <w:rPr>
              <w:w w:val="103"/>
            </w:rPr>
          </w:pPr>
          <w:r>
            <w:rPr>
              <w:w w:val="103"/>
            </w:rPr>
            <w:fldChar w:fldCharType="begin"/>
          </w:r>
          <w:r>
            <w:rPr>
              <w:w w:val="103"/>
            </w:rPr>
            <w:instrText xml:space="preserve"> PAGE  \* Arabic  \* MERGEFORMAT </w:instrText>
          </w:r>
          <w:r>
            <w:rPr>
              <w:w w:val="103"/>
            </w:rPr>
            <w:fldChar w:fldCharType="separate"/>
          </w:r>
          <w:r w:rsidR="00B2206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22065">
            <w:rPr>
              <w:w w:val="103"/>
            </w:rPr>
            <w:t>2</w:t>
          </w:r>
          <w:r>
            <w:rPr>
              <w:w w:val="103"/>
            </w:rPr>
            <w:fldChar w:fldCharType="end"/>
          </w:r>
        </w:p>
      </w:tc>
    </w:tr>
  </w:tbl>
  <w:p w:rsidR="00A36926" w:rsidRPr="00A36926" w:rsidRDefault="00A36926" w:rsidP="00A369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36926" w:rsidTr="00A36926">
      <w:tc>
        <w:tcPr>
          <w:tcW w:w="5028" w:type="dxa"/>
          <w:shd w:val="clear" w:color="auto" w:fill="auto"/>
        </w:tcPr>
        <w:p w:rsidR="00A36926" w:rsidRPr="00A36926" w:rsidRDefault="00A36926" w:rsidP="00A36926">
          <w:pPr>
            <w:pStyle w:val="ac"/>
            <w:jc w:val="right"/>
          </w:pPr>
          <w:r>
            <w:fldChar w:fldCharType="begin"/>
          </w:r>
          <w:r>
            <w:instrText xml:space="preserve"> PAGE  \* Arabic  \* MERGEFORMAT </w:instrText>
          </w:r>
          <w:r>
            <w:fldChar w:fldCharType="separate"/>
          </w:r>
          <w:r w:rsidR="003C2072">
            <w:t>9</w:t>
          </w:r>
          <w:r>
            <w:fldChar w:fldCharType="end"/>
          </w:r>
          <w:r>
            <w:t>/</w:t>
          </w:r>
          <w:fldSimple w:instr=" NUMPAGES  \* Arabic  \* MERGEFORMAT ">
            <w:r w:rsidR="003C2072">
              <w:t>9</w:t>
            </w:r>
          </w:fldSimple>
        </w:p>
      </w:tc>
      <w:tc>
        <w:tcPr>
          <w:tcW w:w="5028" w:type="dxa"/>
          <w:shd w:val="clear" w:color="auto" w:fill="auto"/>
        </w:tcPr>
        <w:p w:rsidR="00A36926" w:rsidRPr="00A36926" w:rsidRDefault="00A36926" w:rsidP="00A3692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16-21878 (C)</w:t>
          </w:r>
          <w:r>
            <w:rPr>
              <w:b w:val="0"/>
              <w:w w:val="103"/>
              <w:sz w:val="14"/>
            </w:rPr>
            <w:fldChar w:fldCharType="end"/>
          </w:r>
        </w:p>
      </w:tc>
    </w:tr>
  </w:tbl>
  <w:p w:rsidR="00A36926" w:rsidRPr="00A36926" w:rsidRDefault="00A36926" w:rsidP="00A369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A36926" w:rsidTr="00A36926">
      <w:tc>
        <w:tcPr>
          <w:tcW w:w="3744" w:type="dxa"/>
        </w:tcPr>
        <w:p w:rsidR="00A36926" w:rsidRDefault="00A36926" w:rsidP="00A36926">
          <w:pPr>
            <w:pStyle w:val="ac"/>
            <w:rPr>
              <w:b w:val="0"/>
              <w:sz w:val="21"/>
            </w:rPr>
          </w:pPr>
          <w:r>
            <w:rPr>
              <w:b w:val="0"/>
              <w:sz w:val="21"/>
            </w:rPr>
            <w:drawing>
              <wp:anchor distT="0" distB="0" distL="114300" distR="114300" simplePos="0" relativeHeight="251658240" behindDoc="0" locked="0" layoutInCell="1" allowOverlap="1" wp14:anchorId="4ECAF0F5" wp14:editId="5A8ACE2E">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170&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170&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16-21878 (C)</w:t>
          </w:r>
          <w:r>
            <w:rPr>
              <w:b w:val="0"/>
              <w:sz w:val="21"/>
            </w:rPr>
            <w:fldChar w:fldCharType="end"/>
          </w:r>
        </w:p>
        <w:p w:rsidR="00A36926" w:rsidRPr="00A36926" w:rsidRDefault="00A36926" w:rsidP="00A36926">
          <w:pPr>
            <w:spacing w:before="80" w:line="210" w:lineRule="exact"/>
            <w:rPr>
              <w:rFonts w:ascii="Barcode 3 of 9 by request" w:hAnsi="Barcode 3 of 9 by request"/>
              <w:sz w:val="24"/>
            </w:rPr>
          </w:pPr>
          <w:r>
            <w:rPr>
              <w:rFonts w:ascii="Barcode 3 of 9 by request" w:hAnsi="Barcode 3 of 9 by request"/>
              <w:sz w:val="24"/>
            </w:rPr>
            <w:t>*1621878*</w:t>
          </w:r>
        </w:p>
      </w:tc>
      <w:tc>
        <w:tcPr>
          <w:tcW w:w="5028" w:type="dxa"/>
        </w:tcPr>
        <w:p w:rsidR="00A36926" w:rsidRDefault="00A36926" w:rsidP="00A36926">
          <w:pPr>
            <w:pStyle w:val="ac"/>
            <w:jc w:val="right"/>
            <w:rPr>
              <w:b w:val="0"/>
              <w:sz w:val="21"/>
            </w:rPr>
          </w:pPr>
          <w:r>
            <w:rPr>
              <w:b w:val="0"/>
              <w:sz w:val="21"/>
            </w:rPr>
            <w:drawing>
              <wp:inline distT="0" distB="0" distL="0" distR="0" wp14:anchorId="1A149920" wp14:editId="23430F0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A36926" w:rsidRPr="00A36926" w:rsidRDefault="00A36926" w:rsidP="00A36926">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24" w:rsidRPr="00C77C3A" w:rsidRDefault="00C77C3A" w:rsidP="00C77C3A">
      <w:pPr>
        <w:pStyle w:val="ac"/>
        <w:spacing w:after="80"/>
        <w:ind w:left="792"/>
        <w:rPr>
          <w:sz w:val="16"/>
        </w:rPr>
      </w:pPr>
      <w:r w:rsidRPr="00C77C3A">
        <w:rPr>
          <w:sz w:val="16"/>
        </w:rPr>
        <w:t>__________________</w:t>
      </w:r>
    </w:p>
  </w:footnote>
  <w:footnote w:type="continuationSeparator" w:id="0">
    <w:p w:rsidR="00972324" w:rsidRPr="00C77C3A" w:rsidRDefault="00C77C3A" w:rsidP="00C77C3A">
      <w:pPr>
        <w:pStyle w:val="ac"/>
        <w:spacing w:after="80"/>
        <w:ind w:left="792"/>
        <w:rPr>
          <w:sz w:val="16"/>
        </w:rPr>
      </w:pPr>
      <w:r w:rsidRPr="00C77C3A">
        <w:rPr>
          <w:sz w:val="16"/>
        </w:rPr>
        <w:t>__________________</w:t>
      </w:r>
    </w:p>
  </w:footnote>
  <w:footnote w:id="1">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cs="宋体" w:hint="eastAsia"/>
        </w:rPr>
        <w:tab/>
      </w:r>
      <w:r w:rsidRPr="009C345E">
        <w:rPr>
          <w:rStyle w:val="a3"/>
        </w:rPr>
        <w:footnoteRef/>
      </w:r>
      <w:r>
        <w:rPr>
          <w:rFonts w:cs="宋体" w:hint="eastAsia"/>
        </w:rPr>
        <w:tab/>
      </w:r>
      <w:r w:rsidRPr="00C77C3A">
        <w:rPr>
          <w:rFonts w:hint="eastAsia"/>
        </w:rPr>
        <w:t>见《大会正式记录，第七十届会议，补编第</w:t>
      </w:r>
      <w:r w:rsidRPr="00C77C3A">
        <w:t>53</w:t>
      </w:r>
      <w:r w:rsidRPr="00C77C3A">
        <w:rPr>
          <w:rFonts w:hint="eastAsia"/>
        </w:rPr>
        <w:t>号》</w:t>
      </w:r>
      <w:r w:rsidRPr="00C77C3A">
        <w:t>(</w:t>
      </w:r>
      <w:hyperlink r:id="rId1" w:history="1">
        <w:r w:rsidRPr="00C77C3A">
          <w:rPr>
            <w:rStyle w:val="ad"/>
          </w:rPr>
          <w:t>A/70/53)</w:t>
        </w:r>
      </w:hyperlink>
      <w:r w:rsidRPr="00C77C3A">
        <w:rPr>
          <w:rFonts w:hint="eastAsia"/>
        </w:rPr>
        <w:t>，第五章，</w:t>
      </w:r>
      <w:r w:rsidRPr="00C77C3A">
        <w:t>A</w:t>
      </w:r>
      <w:r w:rsidRPr="00C77C3A">
        <w:rPr>
          <w:rFonts w:hint="eastAsia"/>
        </w:rPr>
        <w:t>节。</w:t>
      </w:r>
    </w:p>
  </w:footnote>
  <w:footnote w:id="2">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cs="宋体" w:hint="eastAsia"/>
        </w:rPr>
        <w:tab/>
      </w:r>
      <w:r w:rsidRPr="009C345E">
        <w:rPr>
          <w:rStyle w:val="a3"/>
        </w:rPr>
        <w:footnoteRef/>
      </w:r>
      <w:r>
        <w:rPr>
          <w:rFonts w:cs="宋体" w:hint="eastAsia"/>
        </w:rPr>
        <w:tab/>
      </w:r>
      <w:r w:rsidRPr="00C77C3A">
        <w:rPr>
          <w:rFonts w:hint="eastAsia"/>
        </w:rPr>
        <w:t>第</w:t>
      </w:r>
      <w:r w:rsidRPr="00C77C3A">
        <w:t>217A(III)</w:t>
      </w:r>
      <w:r w:rsidRPr="00C77C3A">
        <w:rPr>
          <w:rFonts w:hint="eastAsia"/>
        </w:rPr>
        <w:t>号决议。</w:t>
      </w:r>
    </w:p>
  </w:footnote>
  <w:footnote w:id="3">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cs="宋体" w:hint="eastAsia"/>
        </w:rPr>
        <w:tab/>
      </w:r>
      <w:r w:rsidRPr="009C345E">
        <w:rPr>
          <w:rStyle w:val="a3"/>
        </w:rPr>
        <w:footnoteRef/>
      </w:r>
      <w:r>
        <w:rPr>
          <w:rFonts w:cs="宋体" w:hint="eastAsia"/>
        </w:rPr>
        <w:tab/>
      </w:r>
      <w:r w:rsidRPr="00C77C3A">
        <w:rPr>
          <w:rFonts w:hint="eastAsia"/>
        </w:rPr>
        <w:t>见第</w:t>
      </w:r>
      <w:r w:rsidRPr="00C77C3A">
        <w:t>2200A(XXI)</w:t>
      </w:r>
      <w:r w:rsidRPr="00C77C3A">
        <w:rPr>
          <w:rFonts w:hint="eastAsia"/>
        </w:rPr>
        <w:t>号决议，附件。</w:t>
      </w:r>
    </w:p>
  </w:footnote>
  <w:footnote w:id="4">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联合国，《条约汇编》，第</w:t>
      </w:r>
      <w:r w:rsidRPr="009C345E">
        <w:rPr>
          <w:rFonts w:hint="eastAsia"/>
        </w:rPr>
        <w:t>1577</w:t>
      </w:r>
      <w:r w:rsidRPr="009C345E">
        <w:rPr>
          <w:rFonts w:hint="eastAsia"/>
        </w:rPr>
        <w:t>卷，第</w:t>
      </w:r>
      <w:r w:rsidRPr="009C345E">
        <w:rPr>
          <w:rFonts w:hint="eastAsia"/>
        </w:rPr>
        <w:t>27531</w:t>
      </w:r>
      <w:r w:rsidRPr="009C345E">
        <w:rPr>
          <w:rFonts w:hint="eastAsia"/>
        </w:rPr>
        <w:t>号。</w:t>
      </w:r>
    </w:p>
  </w:footnote>
  <w:footnote w:id="5">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Pr>
          <w:rFonts w:hint="eastAsia"/>
        </w:rPr>
        <w:t>同上</w:t>
      </w:r>
      <w:r w:rsidRPr="009C345E">
        <w:rPr>
          <w:rFonts w:hint="eastAsia"/>
        </w:rPr>
        <w:t>，第</w:t>
      </w:r>
      <w:r w:rsidRPr="009C345E">
        <w:rPr>
          <w:rFonts w:hint="eastAsia"/>
        </w:rPr>
        <w:t>1577</w:t>
      </w:r>
      <w:r w:rsidRPr="009C345E">
        <w:rPr>
          <w:rFonts w:hint="eastAsia"/>
        </w:rPr>
        <w:t>、</w:t>
      </w:r>
      <w:r w:rsidRPr="009C345E">
        <w:rPr>
          <w:rFonts w:hint="eastAsia"/>
        </w:rPr>
        <w:t>2171</w:t>
      </w:r>
      <w:r w:rsidRPr="009C345E">
        <w:rPr>
          <w:rFonts w:hint="eastAsia"/>
        </w:rPr>
        <w:t>和</w:t>
      </w:r>
      <w:r w:rsidRPr="009C345E">
        <w:rPr>
          <w:rFonts w:hint="eastAsia"/>
        </w:rPr>
        <w:t>2173</w:t>
      </w:r>
      <w:r w:rsidRPr="009C345E">
        <w:rPr>
          <w:rFonts w:hint="eastAsia"/>
        </w:rPr>
        <w:t>卷，第</w:t>
      </w:r>
      <w:r w:rsidRPr="009C345E">
        <w:rPr>
          <w:rFonts w:hint="eastAsia"/>
        </w:rPr>
        <w:t>27531</w:t>
      </w:r>
      <w:r w:rsidRPr="009C345E">
        <w:rPr>
          <w:rFonts w:hint="eastAsia"/>
        </w:rPr>
        <w:t>号；第</w:t>
      </w:r>
      <w:r w:rsidRPr="009C345E">
        <w:rPr>
          <w:rFonts w:hint="eastAsia"/>
        </w:rPr>
        <w:t>66/138</w:t>
      </w:r>
      <w:r w:rsidRPr="009C345E">
        <w:rPr>
          <w:rFonts w:hint="eastAsia"/>
        </w:rPr>
        <w:t>号决议，附件。</w:t>
      </w:r>
    </w:p>
  </w:footnote>
  <w:footnote w:id="6">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hyperlink r:id="rId2" w:history="1">
        <w:r w:rsidRPr="009C345E">
          <w:rPr>
            <w:rStyle w:val="ad"/>
          </w:rPr>
          <w:t>A/CONF/157/24(Part I)</w:t>
        </w:r>
      </w:hyperlink>
      <w:r>
        <w:rPr>
          <w:rStyle w:val="ad"/>
          <w:rFonts w:hint="eastAsia"/>
        </w:rPr>
        <w:t>和</w:t>
      </w:r>
      <w:r>
        <w:rPr>
          <w:rStyle w:val="ad"/>
          <w:rFonts w:hint="eastAsia"/>
        </w:rPr>
        <w:t>Corr.1</w:t>
      </w:r>
      <w:r w:rsidRPr="009C345E">
        <w:rPr>
          <w:rFonts w:cs="宋体" w:hint="eastAsia"/>
        </w:rPr>
        <w:t>，第三章。</w:t>
      </w:r>
    </w:p>
  </w:footnote>
  <w:footnote w:id="7">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cs="宋体" w:hint="eastAsia"/>
        </w:rPr>
        <w:tab/>
      </w:r>
      <w:r w:rsidRPr="009C345E">
        <w:rPr>
          <w:rStyle w:val="a3"/>
        </w:rPr>
        <w:footnoteRef/>
      </w:r>
      <w:r>
        <w:rPr>
          <w:rFonts w:cs="宋体" w:hint="eastAsia"/>
        </w:rPr>
        <w:tab/>
      </w:r>
      <w:r w:rsidRPr="00C77C3A">
        <w:rPr>
          <w:rFonts w:hint="eastAsia"/>
        </w:rPr>
        <w:t>第</w:t>
      </w:r>
      <w:r w:rsidRPr="00C77C3A">
        <w:t>48/104</w:t>
      </w:r>
      <w:r w:rsidRPr="00C77C3A">
        <w:rPr>
          <w:rFonts w:hint="eastAsia"/>
        </w:rPr>
        <w:t>号决议。</w:t>
      </w:r>
    </w:p>
  </w:footnote>
  <w:footnote w:id="8">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《第四次妇女问题世界会议的报告，</w:t>
      </w:r>
      <w:r w:rsidRPr="009C345E">
        <w:t>1995</w:t>
      </w:r>
      <w:r w:rsidRPr="009C345E">
        <w:rPr>
          <w:rFonts w:hint="eastAsia"/>
        </w:rPr>
        <w:t>年</w:t>
      </w:r>
      <w:r w:rsidRPr="009C345E">
        <w:t>9</w:t>
      </w:r>
      <w:r w:rsidRPr="009C345E">
        <w:rPr>
          <w:rFonts w:hint="eastAsia"/>
        </w:rPr>
        <w:t>月</w:t>
      </w:r>
      <w:r w:rsidRPr="009C345E">
        <w:t>4</w:t>
      </w:r>
      <w:r w:rsidRPr="009C345E">
        <w:rPr>
          <w:rFonts w:hint="eastAsia"/>
        </w:rPr>
        <w:t>日至</w:t>
      </w:r>
      <w:r w:rsidRPr="009C345E">
        <w:t>15</w:t>
      </w:r>
      <w:r w:rsidRPr="009C345E">
        <w:rPr>
          <w:rFonts w:hint="eastAsia"/>
        </w:rPr>
        <w:t>日，北京》</w:t>
      </w:r>
      <w:r w:rsidRPr="009C345E">
        <w:t>(</w:t>
      </w:r>
      <w:r w:rsidRPr="009C345E">
        <w:rPr>
          <w:rFonts w:hint="eastAsia"/>
        </w:rPr>
        <w:t>联合国出版物，出售品编号：</w:t>
      </w:r>
      <w:r w:rsidRPr="009C345E">
        <w:t>C.96.IV.13)</w:t>
      </w:r>
      <w:r w:rsidRPr="009C345E">
        <w:rPr>
          <w:rFonts w:hint="eastAsia"/>
        </w:rPr>
        <w:t>，第一章，决议</w:t>
      </w:r>
      <w:r w:rsidRPr="009C345E">
        <w:t>1</w:t>
      </w:r>
      <w:r w:rsidRPr="009C345E">
        <w:rPr>
          <w:rFonts w:hint="eastAsia"/>
        </w:rPr>
        <w:t>，附件一和二。</w:t>
      </w:r>
    </w:p>
  </w:footnote>
  <w:footnote w:id="9">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《国际人口与发展会议的报告，</w:t>
      </w:r>
      <w:r w:rsidRPr="009C345E">
        <w:t>1994</w:t>
      </w:r>
      <w:r w:rsidRPr="009C345E">
        <w:rPr>
          <w:rFonts w:hint="eastAsia"/>
        </w:rPr>
        <w:t>年</w:t>
      </w:r>
      <w:r w:rsidRPr="009C345E">
        <w:t>9</w:t>
      </w:r>
      <w:r w:rsidRPr="009C345E">
        <w:rPr>
          <w:rFonts w:hint="eastAsia"/>
        </w:rPr>
        <w:t>月</w:t>
      </w:r>
      <w:r w:rsidRPr="009C345E">
        <w:t>5</w:t>
      </w:r>
      <w:r w:rsidRPr="009C345E">
        <w:rPr>
          <w:rFonts w:hint="eastAsia"/>
        </w:rPr>
        <w:t>日至</w:t>
      </w:r>
      <w:r w:rsidRPr="009C345E">
        <w:t>13</w:t>
      </w:r>
      <w:r w:rsidRPr="009C345E">
        <w:rPr>
          <w:rFonts w:hint="eastAsia"/>
        </w:rPr>
        <w:t>日，开罗》</w:t>
      </w:r>
      <w:r w:rsidRPr="009C345E">
        <w:t>(</w:t>
      </w:r>
      <w:r w:rsidRPr="009C345E">
        <w:rPr>
          <w:rFonts w:hint="eastAsia"/>
        </w:rPr>
        <w:t>联合国出版物，出售品编号：</w:t>
      </w:r>
      <w:r w:rsidRPr="009C345E">
        <w:t>C.95.XIII.18)</w:t>
      </w:r>
      <w:r w:rsidRPr="009C345E">
        <w:rPr>
          <w:rFonts w:hint="eastAsia"/>
        </w:rPr>
        <w:t>，第一章，决议</w:t>
      </w:r>
      <w:r w:rsidRPr="009C345E">
        <w:t>1</w:t>
      </w:r>
      <w:r w:rsidRPr="009C345E">
        <w:rPr>
          <w:rFonts w:hint="eastAsia"/>
        </w:rPr>
        <w:t>，附件。</w:t>
      </w:r>
    </w:p>
  </w:footnote>
  <w:footnote w:id="10">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第</w:t>
      </w:r>
      <w:r w:rsidRPr="009C345E">
        <w:rPr>
          <w:rFonts w:hint="eastAsia"/>
        </w:rPr>
        <w:t>61/295</w:t>
      </w:r>
      <w:r w:rsidRPr="009C345E">
        <w:rPr>
          <w:rFonts w:hint="eastAsia"/>
        </w:rPr>
        <w:t>号决议，附件。</w:t>
      </w:r>
    </w:p>
  </w:footnote>
  <w:footnote w:id="11">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cs="宋体" w:hint="eastAsia"/>
        </w:rPr>
        <w:tab/>
      </w:r>
      <w:r w:rsidRPr="009C345E">
        <w:rPr>
          <w:rStyle w:val="a3"/>
        </w:rPr>
        <w:footnoteRef/>
      </w:r>
      <w:r>
        <w:rPr>
          <w:rFonts w:cs="宋体" w:hint="eastAsia"/>
        </w:rPr>
        <w:tab/>
      </w:r>
      <w:r w:rsidRPr="00C77C3A">
        <w:rPr>
          <w:rFonts w:hint="eastAsia"/>
        </w:rPr>
        <w:t>第</w:t>
      </w:r>
      <w:r w:rsidRPr="00C77C3A">
        <w:t>70/1</w:t>
      </w:r>
      <w:r w:rsidRPr="00C77C3A">
        <w:rPr>
          <w:rFonts w:hint="eastAsia"/>
        </w:rPr>
        <w:t>号决议。</w:t>
      </w:r>
    </w:p>
  </w:footnote>
  <w:footnote w:id="12">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见《经济及社会理事会正式记录，</w:t>
      </w:r>
      <w:r w:rsidRPr="009C345E">
        <w:t>2016</w:t>
      </w:r>
      <w:r w:rsidRPr="009C345E">
        <w:rPr>
          <w:rFonts w:hint="eastAsia"/>
        </w:rPr>
        <w:t>年，补编第</w:t>
      </w:r>
      <w:r w:rsidRPr="009C345E">
        <w:t>7</w:t>
      </w:r>
      <w:r w:rsidRPr="009C345E">
        <w:rPr>
          <w:rFonts w:hint="eastAsia"/>
        </w:rPr>
        <w:t>号》</w:t>
      </w:r>
      <w:r w:rsidRPr="009C345E">
        <w:t>(E/2016/27)</w:t>
      </w:r>
      <w:r w:rsidRPr="009C345E">
        <w:rPr>
          <w:rFonts w:hint="eastAsia"/>
        </w:rPr>
        <w:t>，第一章，</w:t>
      </w:r>
      <w:r w:rsidRPr="009C345E">
        <w:t>A</w:t>
      </w:r>
      <w:r w:rsidRPr="009C345E">
        <w:rPr>
          <w:rFonts w:hint="eastAsia"/>
        </w:rPr>
        <w:t>节。</w:t>
      </w:r>
    </w:p>
  </w:footnote>
  <w:footnote w:id="13">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联合国，《条约汇编》，第</w:t>
      </w:r>
      <w:r w:rsidRPr="009C345E">
        <w:rPr>
          <w:rFonts w:hint="eastAsia"/>
        </w:rPr>
        <w:t>75</w:t>
      </w:r>
      <w:r w:rsidRPr="009C345E">
        <w:rPr>
          <w:rFonts w:hint="eastAsia"/>
        </w:rPr>
        <w:t>卷，第</w:t>
      </w:r>
      <w:r w:rsidRPr="009C345E">
        <w:rPr>
          <w:rFonts w:hint="eastAsia"/>
        </w:rPr>
        <w:t>970-973</w:t>
      </w:r>
      <w:r w:rsidRPr="009C345E">
        <w:rPr>
          <w:rFonts w:hint="eastAsia"/>
        </w:rPr>
        <w:t>号。</w:t>
      </w:r>
      <w:r w:rsidRPr="009C345E">
        <w:rPr>
          <w:rFonts w:hint="eastAsia"/>
        </w:rPr>
        <w:t xml:space="preserve"> </w:t>
      </w:r>
    </w:p>
  </w:footnote>
  <w:footnote w:id="14">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同上，第</w:t>
      </w:r>
      <w:r w:rsidRPr="009C345E">
        <w:rPr>
          <w:rFonts w:hint="eastAsia"/>
        </w:rPr>
        <w:t>1125</w:t>
      </w:r>
      <w:r w:rsidRPr="009C345E">
        <w:rPr>
          <w:rFonts w:hint="eastAsia"/>
        </w:rPr>
        <w:t>卷，第</w:t>
      </w:r>
      <w:r w:rsidRPr="009C345E">
        <w:rPr>
          <w:rFonts w:hint="eastAsia"/>
        </w:rPr>
        <w:t>17512</w:t>
      </w:r>
      <w:r w:rsidRPr="009C345E">
        <w:rPr>
          <w:rFonts w:hint="eastAsia"/>
        </w:rPr>
        <w:t>号。</w:t>
      </w:r>
    </w:p>
  </w:footnote>
  <w:footnote w:id="15">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同上，第</w:t>
      </w:r>
      <w:r w:rsidRPr="009C345E">
        <w:rPr>
          <w:rFonts w:hint="eastAsia"/>
        </w:rPr>
        <w:t>2237</w:t>
      </w:r>
      <w:r w:rsidRPr="009C345E">
        <w:rPr>
          <w:rFonts w:hint="eastAsia"/>
        </w:rPr>
        <w:t>卷，第</w:t>
      </w:r>
      <w:r w:rsidRPr="009C345E">
        <w:rPr>
          <w:rFonts w:hint="eastAsia"/>
        </w:rPr>
        <w:t>39574</w:t>
      </w:r>
      <w:r w:rsidRPr="009C345E">
        <w:rPr>
          <w:rFonts w:hint="eastAsia"/>
        </w:rPr>
        <w:t>号。</w:t>
      </w:r>
    </w:p>
  </w:footnote>
  <w:footnote w:id="16">
    <w:p w:rsidR="00C77C3A" w:rsidRPr="009C345E" w:rsidRDefault="00C77C3A" w:rsidP="00C77C3A">
      <w:pPr>
        <w:pStyle w:val="a5"/>
        <w:tabs>
          <w:tab w:val="clear" w:pos="418"/>
          <w:tab w:val="right" w:pos="1195"/>
          <w:tab w:val="left" w:pos="1264"/>
          <w:tab w:val="left" w:pos="1695"/>
          <w:tab w:val="left" w:pos="2126"/>
          <w:tab w:val="left" w:pos="2557"/>
        </w:tabs>
        <w:ind w:left="1264" w:right="1264" w:hanging="432"/>
      </w:pPr>
      <w:r>
        <w:rPr>
          <w:rFonts w:hint="eastAsia"/>
        </w:rPr>
        <w:tab/>
      </w:r>
      <w:r w:rsidRPr="009C345E">
        <w:rPr>
          <w:rStyle w:val="a3"/>
        </w:rPr>
        <w:footnoteRef/>
      </w:r>
      <w:r>
        <w:rPr>
          <w:rFonts w:hint="eastAsia"/>
        </w:rPr>
        <w:tab/>
      </w:r>
      <w:r w:rsidRPr="009C345E">
        <w:rPr>
          <w:rFonts w:hint="eastAsia"/>
        </w:rPr>
        <w:t>第</w:t>
      </w:r>
      <w:r w:rsidRPr="009C345E">
        <w:rPr>
          <w:rFonts w:hint="eastAsia"/>
        </w:rPr>
        <w:t>64/293</w:t>
      </w:r>
      <w:r w:rsidRPr="009C345E">
        <w:rPr>
          <w:rFonts w:hint="eastAsia"/>
        </w:rPr>
        <w:t>号决议。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6926" w:rsidTr="00A36926">
      <w:trPr>
        <w:trHeight w:hRule="exact" w:val="864"/>
      </w:trPr>
      <w:tc>
        <w:tcPr>
          <w:tcW w:w="4838" w:type="dxa"/>
          <w:shd w:val="clear" w:color="auto" w:fill="auto"/>
          <w:vAlign w:val="bottom"/>
        </w:tcPr>
        <w:p w:rsidR="00A36926" w:rsidRPr="00A36926" w:rsidRDefault="00A36926" w:rsidP="00A3692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A/RES/71/170</w:t>
          </w:r>
          <w:r>
            <w:rPr>
              <w:b/>
              <w:sz w:val="17"/>
            </w:rPr>
            <w:fldChar w:fldCharType="end"/>
          </w:r>
        </w:p>
      </w:tc>
      <w:tc>
        <w:tcPr>
          <w:tcW w:w="5028" w:type="dxa"/>
          <w:shd w:val="clear" w:color="auto" w:fill="auto"/>
          <w:vAlign w:val="bottom"/>
        </w:tcPr>
        <w:p w:rsidR="00A36926" w:rsidRPr="00421436" w:rsidRDefault="00421436" w:rsidP="00421436">
          <w:pPr>
            <w:pStyle w:val="ab"/>
            <w:spacing w:after="60"/>
            <w:jc w:val="right"/>
            <w:rPr>
              <w:b/>
            </w:rPr>
          </w:pPr>
          <w:bookmarkStart w:id="0" w:name="OLE_LINK14"/>
          <w:bookmarkStart w:id="1" w:name="OLE_LINK15"/>
          <w:r w:rsidRPr="00421436">
            <w:rPr>
              <w:rFonts w:hint="eastAsia"/>
              <w:b/>
            </w:rPr>
            <w:t>加紧努力防止和消除一切形式暴力</w:t>
          </w:r>
          <w:r w:rsidRPr="00421436">
            <w:rPr>
              <w:b/>
            </w:rPr>
            <w:br/>
          </w:r>
          <w:r w:rsidRPr="00421436">
            <w:rPr>
              <w:rFonts w:hint="eastAsia"/>
              <w:b/>
            </w:rPr>
            <w:t>侵害妇女和女童行为：家庭暴力</w:t>
          </w:r>
          <w:bookmarkEnd w:id="0"/>
          <w:bookmarkEnd w:id="1"/>
        </w:p>
      </w:tc>
    </w:tr>
  </w:tbl>
  <w:p w:rsidR="00A36926" w:rsidRPr="00A36926" w:rsidRDefault="00A36926" w:rsidP="00A3692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36926" w:rsidTr="00A36926">
      <w:trPr>
        <w:trHeight w:hRule="exact" w:val="864"/>
      </w:trPr>
      <w:tc>
        <w:tcPr>
          <w:tcW w:w="4838" w:type="dxa"/>
          <w:shd w:val="clear" w:color="auto" w:fill="auto"/>
          <w:vAlign w:val="bottom"/>
        </w:tcPr>
        <w:p w:rsidR="00A36926" w:rsidRDefault="00421436" w:rsidP="00421436">
          <w:pPr>
            <w:pStyle w:val="ab"/>
            <w:spacing w:after="60"/>
          </w:pPr>
          <w:r w:rsidRPr="00421436">
            <w:rPr>
              <w:rFonts w:hint="eastAsia"/>
              <w:b/>
            </w:rPr>
            <w:t>加紧努力防止和消除一切形式暴力</w:t>
          </w:r>
          <w:r w:rsidRPr="00421436">
            <w:rPr>
              <w:b/>
            </w:rPr>
            <w:br/>
          </w:r>
          <w:r w:rsidRPr="00421436">
            <w:rPr>
              <w:rFonts w:hint="eastAsia"/>
              <w:b/>
            </w:rPr>
            <w:t>侵害妇女和女童行为：家庭暴力</w:t>
          </w:r>
        </w:p>
      </w:tc>
      <w:tc>
        <w:tcPr>
          <w:tcW w:w="5028" w:type="dxa"/>
          <w:shd w:val="clear" w:color="auto" w:fill="auto"/>
          <w:vAlign w:val="bottom"/>
        </w:tcPr>
        <w:p w:rsidR="00A36926" w:rsidRPr="00A36926" w:rsidRDefault="00A36926" w:rsidP="00A3692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A/RES/71/170</w:t>
          </w:r>
          <w:r>
            <w:rPr>
              <w:b/>
              <w:sz w:val="17"/>
            </w:rPr>
            <w:fldChar w:fldCharType="end"/>
          </w:r>
        </w:p>
      </w:tc>
    </w:tr>
  </w:tbl>
  <w:p w:rsidR="00A36926" w:rsidRPr="00A36926" w:rsidRDefault="00A36926" w:rsidP="00A3692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36926" w:rsidTr="00A36926">
      <w:trPr>
        <w:gridAfter w:val="1"/>
        <w:wAfter w:w="12" w:type="dxa"/>
        <w:trHeight w:hRule="exact" w:val="864"/>
      </w:trPr>
      <w:tc>
        <w:tcPr>
          <w:tcW w:w="1267" w:type="dxa"/>
          <w:tcBorders>
            <w:bottom w:val="single" w:sz="4" w:space="0" w:color="auto"/>
          </w:tcBorders>
          <w:shd w:val="clear" w:color="auto" w:fill="auto"/>
          <w:vAlign w:val="bottom"/>
        </w:tcPr>
        <w:p w:rsidR="00A36926" w:rsidRDefault="00A36926" w:rsidP="00A36926">
          <w:pPr>
            <w:pStyle w:val="ab"/>
            <w:spacing w:after="120"/>
          </w:pPr>
        </w:p>
      </w:tc>
      <w:tc>
        <w:tcPr>
          <w:tcW w:w="1872" w:type="dxa"/>
          <w:tcBorders>
            <w:bottom w:val="single" w:sz="4" w:space="0" w:color="auto"/>
          </w:tcBorders>
          <w:shd w:val="clear" w:color="auto" w:fill="auto"/>
          <w:vAlign w:val="bottom"/>
        </w:tcPr>
        <w:p w:rsidR="00A36926" w:rsidRPr="00A36926" w:rsidRDefault="00A36926" w:rsidP="00A36926">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A36926" w:rsidRDefault="00A36926" w:rsidP="00A36926">
          <w:pPr>
            <w:pStyle w:val="ab"/>
            <w:spacing w:after="120"/>
          </w:pPr>
        </w:p>
      </w:tc>
      <w:tc>
        <w:tcPr>
          <w:tcW w:w="6523" w:type="dxa"/>
          <w:gridSpan w:val="3"/>
          <w:tcBorders>
            <w:bottom w:val="single" w:sz="4" w:space="0" w:color="auto"/>
          </w:tcBorders>
          <w:shd w:val="clear" w:color="auto" w:fill="auto"/>
          <w:vAlign w:val="bottom"/>
        </w:tcPr>
        <w:p w:rsidR="00A36926" w:rsidRPr="00A36926" w:rsidRDefault="00A36926" w:rsidP="00A36926">
          <w:pPr>
            <w:spacing w:after="80" w:line="240" w:lineRule="auto"/>
            <w:jc w:val="right"/>
            <w:rPr>
              <w:position w:val="-4"/>
            </w:rPr>
          </w:pPr>
          <w:r>
            <w:rPr>
              <w:position w:val="-4"/>
              <w:sz w:val="40"/>
            </w:rPr>
            <w:t>A</w:t>
          </w:r>
          <w:r>
            <w:rPr>
              <w:position w:val="-4"/>
            </w:rPr>
            <w:t>/RES/71/170</w:t>
          </w:r>
        </w:p>
      </w:tc>
    </w:tr>
    <w:tr w:rsidR="00A36926" w:rsidRPr="00A36926" w:rsidTr="00A36926">
      <w:trPr>
        <w:trHeight w:hRule="exact" w:val="2880"/>
      </w:trPr>
      <w:tc>
        <w:tcPr>
          <w:tcW w:w="1267" w:type="dxa"/>
          <w:tcBorders>
            <w:top w:val="single" w:sz="4" w:space="0" w:color="auto"/>
            <w:bottom w:val="single" w:sz="12" w:space="0" w:color="auto"/>
          </w:tcBorders>
          <w:shd w:val="clear" w:color="auto" w:fill="auto"/>
        </w:tcPr>
        <w:p w:rsidR="00A36926" w:rsidRPr="00A36926" w:rsidRDefault="00A36926" w:rsidP="00A36926">
          <w:pPr>
            <w:pStyle w:val="ab"/>
            <w:spacing w:before="109"/>
            <w:ind w:left="-72"/>
          </w:pPr>
          <w:r>
            <w:t xml:space="preserve"> </w:t>
          </w:r>
          <w:r>
            <w:drawing>
              <wp:inline distT="0" distB="0" distL="0" distR="0" wp14:anchorId="6EF61F43" wp14:editId="731A30B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36926" w:rsidRPr="00A36926" w:rsidRDefault="00A36926" w:rsidP="00A36926">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A36926" w:rsidRPr="00A36926" w:rsidRDefault="00A36926" w:rsidP="00A36926">
          <w:pPr>
            <w:pStyle w:val="ab"/>
            <w:spacing w:before="109"/>
          </w:pPr>
        </w:p>
      </w:tc>
      <w:tc>
        <w:tcPr>
          <w:tcW w:w="3180" w:type="dxa"/>
          <w:gridSpan w:val="2"/>
          <w:tcBorders>
            <w:top w:val="single" w:sz="4" w:space="0" w:color="auto"/>
            <w:bottom w:val="single" w:sz="12" w:space="0" w:color="auto"/>
          </w:tcBorders>
          <w:shd w:val="clear" w:color="auto" w:fill="auto"/>
        </w:tcPr>
        <w:p w:rsidR="00A36926" w:rsidRDefault="00A36926" w:rsidP="00A36926">
          <w:pPr>
            <w:pStyle w:val="Distr"/>
          </w:pPr>
          <w:r>
            <w:t>Distr.: General</w:t>
          </w:r>
        </w:p>
        <w:p w:rsidR="00A36926" w:rsidRDefault="00A36926" w:rsidP="00A36926">
          <w:pPr>
            <w:pStyle w:val="Publication"/>
          </w:pPr>
          <w:r>
            <w:t>7 February 2017</w:t>
          </w:r>
        </w:p>
        <w:p w:rsidR="00A36926" w:rsidRPr="00A36926" w:rsidRDefault="00A36926" w:rsidP="00A36926"/>
      </w:tc>
    </w:tr>
  </w:tbl>
  <w:p w:rsidR="00A36926" w:rsidRPr="00A36926" w:rsidRDefault="00A36926" w:rsidP="00A36926">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878*"/>
    <w:docVar w:name="CreationDt" w:val="08/02/2017 09:53:01"/>
    <w:docVar w:name="DocCategory" w:val="Doc"/>
    <w:docVar w:name="DocType" w:val="Final"/>
    <w:docVar w:name="DutyStation" w:val="New York"/>
    <w:docVar w:name="FooterJN" w:val="16-21878 (C)"/>
    <w:docVar w:name="jobn" w:val="16-21878 (C)"/>
    <w:docVar w:name="jobnDT" w:val="16-21878 (C)   080217"/>
    <w:docVar w:name="jobnDTDT" w:val="16-21878 (C)   080217   080217"/>
    <w:docVar w:name="JobNo" w:val="1621878C"/>
    <w:docVar w:name="LocalDrive" w:val="0"/>
    <w:docVar w:name="OandT" w:val="jia"/>
    <w:docVar w:name="PaperSize" w:val="Letter"/>
    <w:docVar w:name="sss1" w:val="A/RES/71/170"/>
    <w:docVar w:name="sss2" w:val="-"/>
    <w:docVar w:name="Symbol1" w:val="A/RES/71/170"/>
    <w:docVar w:name="Symbol2" w:val="-"/>
  </w:docVars>
  <w:rsids>
    <w:rsidRoot w:val="00972324"/>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2CC6"/>
    <w:rsid w:val="00373A15"/>
    <w:rsid w:val="00376C04"/>
    <w:rsid w:val="00381AB0"/>
    <w:rsid w:val="00383ACA"/>
    <w:rsid w:val="00384CB1"/>
    <w:rsid w:val="003869FA"/>
    <w:rsid w:val="00394A02"/>
    <w:rsid w:val="003966E8"/>
    <w:rsid w:val="003A1C26"/>
    <w:rsid w:val="003A7B88"/>
    <w:rsid w:val="003C2072"/>
    <w:rsid w:val="003C4125"/>
    <w:rsid w:val="003C448D"/>
    <w:rsid w:val="003C7B20"/>
    <w:rsid w:val="003D075F"/>
    <w:rsid w:val="003D5B4D"/>
    <w:rsid w:val="003E1C2F"/>
    <w:rsid w:val="003E4565"/>
    <w:rsid w:val="003E5999"/>
    <w:rsid w:val="003E748F"/>
    <w:rsid w:val="003E7612"/>
    <w:rsid w:val="003F4BD2"/>
    <w:rsid w:val="003F7BF8"/>
    <w:rsid w:val="004044EF"/>
    <w:rsid w:val="00413FBC"/>
    <w:rsid w:val="00414423"/>
    <w:rsid w:val="0041733F"/>
    <w:rsid w:val="00420761"/>
    <w:rsid w:val="00421436"/>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2324"/>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4D0"/>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926"/>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22065"/>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77C3A"/>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A/RES/61/143" TargetMode="External"/><Relationship Id="rId26" Type="http://schemas.openxmlformats.org/officeDocument/2006/relationships/hyperlink" Target="http://undocs.org/ch/A/RES/29/14" TargetMode="External"/><Relationship Id="rId3" Type="http://schemas.openxmlformats.org/officeDocument/2006/relationships/styles" Target="styles.xml"/><Relationship Id="rId21" Type="http://schemas.openxmlformats.org/officeDocument/2006/relationships/hyperlink" Target="http://undocs.org/ch/A/RES/64/13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71/170" TargetMode="External"/><Relationship Id="rId25" Type="http://schemas.openxmlformats.org/officeDocument/2006/relationships/hyperlink" Target="http://undocs.org/ch/A/RES/58/147" TargetMode="External"/><Relationship Id="rId2" Type="http://schemas.openxmlformats.org/officeDocument/2006/relationships/numbering" Target="numbering.xml"/><Relationship Id="rId16" Type="http://schemas.openxmlformats.org/officeDocument/2006/relationships/hyperlink" Target="http://undocs.org/ch/A/71/477" TargetMode="External"/><Relationship Id="rId20" Type="http://schemas.openxmlformats.org/officeDocument/2006/relationships/hyperlink" Target="http://undocs.org/ch/A/RES/63/155" TargetMode="External"/><Relationship Id="rId29" Type="http://schemas.openxmlformats.org/officeDocument/2006/relationships/hyperlink" Target="http://undocs.org/ch/A/RES/69/1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A/RES/69/147"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A/RES/67/144" TargetMode="External"/><Relationship Id="rId28" Type="http://schemas.openxmlformats.org/officeDocument/2006/relationships/hyperlink" Target="http://undocs.org/ch/A/RES/67/144" TargetMode="External"/><Relationship Id="rId10" Type="http://schemas.openxmlformats.org/officeDocument/2006/relationships/header" Target="header2.xml"/><Relationship Id="rId19" Type="http://schemas.openxmlformats.org/officeDocument/2006/relationships/hyperlink" Target="http://undocs.org/ch/A/RES/62/13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RES/65/187" TargetMode="External"/><Relationship Id="rId27" Type="http://schemas.openxmlformats.org/officeDocument/2006/relationships/hyperlink" Target="http://undocs.org/ch/A/RES/69/147"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A/CONF/157/24(PartI)" TargetMode="External"/><Relationship Id="rId1" Type="http://schemas.openxmlformats.org/officeDocument/2006/relationships/hyperlink" Target="http://undocs.org/ch/A/70/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D624-234C-4230-B936-3A40635F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1590</Words>
  <Characters>9069</Characters>
  <Application>Microsoft Office Word</Application>
  <DocSecurity>0</DocSecurity>
  <Lines>75</Lines>
  <Paragraphs>21</Paragraphs>
  <ScaleCrop>false</ScaleCrop>
  <Company>United Nations</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Ctpu1</cp:lastModifiedBy>
  <cp:revision>11</cp:revision>
  <dcterms:created xsi:type="dcterms:W3CDTF">2017-02-08T13:48:00Z</dcterms:created>
  <dcterms:modified xsi:type="dcterms:W3CDTF">2017-02-10T19:36:00Z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1621878</vt:lpwstr>
  </property>
  <property fmtid="{D5CDD505-2E9C-101B-9397-08002B2CF9AE}" pid="3" name="ODSRefJobNo">
    <vt:lpwstr>1645329C</vt:lpwstr>
  </property>
  <property fmtid="{D5CDD505-2E9C-101B-9397-08002B2CF9AE}" pid="4" name="Symbol1">
    <vt:lpwstr>A/RES/71/170</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February 2017</vt:lpwstr>
  </property>
  <property fmtid="{D5CDD505-2E9C-101B-9397-08002B2CF9AE}" pid="9" name="Comment">
    <vt:lpwstr/>
  </property>
  <property fmtid="{D5CDD505-2E9C-101B-9397-08002B2CF9AE}" pid="10" name="DraftPages">
    <vt:lpwstr> </vt:lpwstr>
  </property>
  <property fmtid="{D5CDD505-2E9C-101B-9397-08002B2CF9AE}" pid="11" name="Operator">
    <vt:lpwstr>jia</vt:lpwstr>
  </property>
</Properties>
</file>