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CF" w:rsidRDefault="00690CC5" w:rsidP="00EB09CF">
      <w:pPr>
        <w:jc w:val="both"/>
        <w:outlineLvl w:val="0"/>
        <w:rPr>
          <w:b/>
          <w:sz w:val="22"/>
          <w:lang w:val="ru-RU"/>
        </w:rPr>
      </w:pPr>
      <w:r>
        <w:rPr>
          <w:rStyle w:val="CommentReference"/>
          <w:rFonts w:eastAsia="Times New Roman"/>
          <w:szCs w:val="20"/>
          <w:lang w:eastAsia="en-US"/>
        </w:rPr>
        <w:commentReference w:id="0"/>
      </w:r>
    </w:p>
    <w:p w:rsidR="00690CC5" w:rsidRPr="00690CC5" w:rsidRDefault="00690CC5" w:rsidP="00690CC5">
      <w:pPr>
        <w:spacing w:line="20" w:lineRule="exact"/>
        <w:jc w:val="both"/>
        <w:outlineLvl w:val="0"/>
        <w:rPr>
          <w:b/>
          <w:sz w:val="2"/>
          <w:lang w:val="ru-RU"/>
        </w:rPr>
        <w:sectPr w:rsidR="00690CC5" w:rsidRPr="00690CC5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584" w:right="1195" w:bottom="1440" w:left="1195" w:header="576" w:footer="1008" w:gutter="0"/>
          <w:cols w:space="720"/>
          <w:titlePg/>
        </w:sectPr>
      </w:pPr>
    </w:p>
    <w:p w:rsidR="00EB09CF" w:rsidRPr="00776BCA" w:rsidRDefault="00EB09CF" w:rsidP="00EB09CF">
      <w:pPr>
        <w:pStyle w:val="Heading1"/>
        <w:spacing w:after="240"/>
        <w:jc w:val="center"/>
        <w:rPr>
          <w:sz w:val="28"/>
          <w:lang w:val="ru-RU"/>
        </w:rPr>
      </w:pPr>
      <w:r w:rsidRPr="00776BCA">
        <w:rPr>
          <w:sz w:val="28"/>
          <w:lang w:val="ru-RU"/>
        </w:rPr>
        <w:lastRenderedPageBreak/>
        <w:t>Резолюция, принятая Генеральной Ассамблеей</w:t>
      </w:r>
      <w:r w:rsidR="009859DA" w:rsidRPr="00776BCA">
        <w:rPr>
          <w:sz w:val="28"/>
          <w:lang w:val="ru-RU"/>
        </w:rPr>
        <w:br/>
      </w:r>
      <w:r w:rsidR="00E312A5" w:rsidRPr="00776BCA">
        <w:rPr>
          <w:sz w:val="28"/>
          <w:lang w:val="ru-RU"/>
        </w:rPr>
        <w:t>6</w:t>
      </w:r>
      <w:r w:rsidR="00776BCA">
        <w:rPr>
          <w:sz w:val="28"/>
          <w:lang w:val="ru-RU"/>
        </w:rPr>
        <w:t> декабря</w:t>
      </w:r>
      <w:r w:rsidR="008D09C8" w:rsidRPr="00776BCA">
        <w:rPr>
          <w:sz w:val="28"/>
          <w:lang w:val="ru-RU"/>
        </w:rPr>
        <w:t xml:space="preserve"> </w:t>
      </w:r>
      <w:r w:rsidR="007F5747" w:rsidRPr="00776BCA">
        <w:rPr>
          <w:sz w:val="28"/>
          <w:lang w:val="ru-RU"/>
        </w:rPr>
        <w:t>201</w:t>
      </w:r>
      <w:r w:rsidR="0029318F" w:rsidRPr="00776BCA">
        <w:rPr>
          <w:sz w:val="28"/>
          <w:lang w:val="ru-RU"/>
        </w:rPr>
        <w:t>6</w:t>
      </w:r>
      <w:r w:rsidR="00776BCA">
        <w:rPr>
          <w:sz w:val="28"/>
          <w:lang w:val="ru-RU"/>
        </w:rPr>
        <w:t> года</w:t>
      </w:r>
    </w:p>
    <w:p w:rsidR="00EB09CF" w:rsidRPr="00776BCA" w:rsidRDefault="00EB09CF" w:rsidP="005B7632">
      <w:pPr>
        <w:spacing w:after="360"/>
        <w:jc w:val="center"/>
        <w:outlineLvl w:val="0"/>
        <w:rPr>
          <w:iCs/>
          <w:sz w:val="20"/>
          <w:szCs w:val="20"/>
          <w:lang w:val="ru-RU"/>
        </w:rPr>
      </w:pPr>
      <w:r w:rsidRPr="00776BCA">
        <w:rPr>
          <w:iCs/>
          <w:sz w:val="20"/>
          <w:szCs w:val="20"/>
          <w:lang w:val="ru-RU"/>
        </w:rPr>
        <w:t>[</w:t>
      </w:r>
      <w:r w:rsidR="00BD7C92" w:rsidRPr="00776BCA">
        <w:rPr>
          <w:i/>
          <w:iCs/>
          <w:sz w:val="20"/>
          <w:szCs w:val="20"/>
          <w:lang w:val="ru-RU"/>
        </w:rPr>
        <w:t>по докладу Комитета по специальным политическим вопросам и вопросам деколонизации</w:t>
      </w:r>
      <w:r w:rsidR="00BD7C92" w:rsidRPr="00776BCA">
        <w:rPr>
          <w:i/>
          <w:iCs/>
          <w:sz w:val="20"/>
          <w:szCs w:val="20"/>
          <w:lang w:val="ru-RU"/>
        </w:rPr>
        <w:br/>
        <w:t>(Четвертый комитет)</w:t>
      </w:r>
      <w:r w:rsidR="009E30D5" w:rsidRPr="00776BCA">
        <w:rPr>
          <w:i/>
          <w:iCs/>
          <w:sz w:val="20"/>
          <w:szCs w:val="20"/>
          <w:lang w:val="ru-RU"/>
        </w:rPr>
        <w:t xml:space="preserve"> </w:t>
      </w:r>
      <w:r w:rsidR="007B699F" w:rsidRPr="00776BCA">
        <w:rPr>
          <w:i/>
          <w:iCs/>
          <w:sz w:val="20"/>
          <w:szCs w:val="20"/>
          <w:lang w:val="ru-RU"/>
        </w:rPr>
        <w:t>(</w:t>
      </w:r>
      <w:hyperlink r:id="rId13" w:history="1">
        <w:r w:rsidR="007B699F" w:rsidRPr="00EF4497">
          <w:rPr>
            <w:rStyle w:val="Hyperlink"/>
            <w:i/>
            <w:iCs/>
            <w:sz w:val="20"/>
            <w:szCs w:val="20"/>
            <w:lang w:val="ru-RU"/>
          </w:rPr>
          <w:t>A/</w:t>
        </w:r>
        <w:r w:rsidR="00BD7C92" w:rsidRPr="00EF4497">
          <w:rPr>
            <w:rStyle w:val="Hyperlink"/>
            <w:i/>
            <w:iCs/>
            <w:sz w:val="20"/>
            <w:szCs w:val="20"/>
            <w:lang w:val="ru-RU"/>
          </w:rPr>
          <w:t>71/494</w:t>
        </w:r>
      </w:hyperlink>
      <w:r w:rsidRPr="00776BCA">
        <w:rPr>
          <w:i/>
          <w:iCs/>
          <w:sz w:val="20"/>
          <w:szCs w:val="20"/>
          <w:lang w:val="ru-RU"/>
        </w:rPr>
        <w:t>)</w:t>
      </w:r>
      <w:r w:rsidRPr="00776BCA">
        <w:rPr>
          <w:iCs/>
          <w:sz w:val="20"/>
          <w:szCs w:val="20"/>
          <w:lang w:val="ru-RU"/>
        </w:rPr>
        <w:t>]</w:t>
      </w:r>
    </w:p>
    <w:p w:rsidR="00776BCA" w:rsidRPr="00776BCA" w:rsidRDefault="00EF4497" w:rsidP="00776BCA">
      <w:pPr>
        <w:pStyle w:val="H1"/>
        <w:keepNext/>
        <w:keepLines/>
        <w:tabs>
          <w:tab w:val="left" w:pos="1699"/>
          <w:tab w:val="left" w:pos="2131"/>
        </w:tabs>
        <w:spacing w:line="240" w:lineRule="auto"/>
        <w:ind w:left="2059" w:right="1267" w:hanging="792"/>
        <w:rPr>
          <w:rFonts w:eastAsia="Times New Roman"/>
          <w:szCs w:val="20"/>
        </w:rPr>
      </w:pPr>
      <w:hyperlink r:id="rId14" w:history="1">
        <w:r w:rsidR="00776BCA" w:rsidRPr="00EF4497">
          <w:rPr>
            <w:rStyle w:val="Hyperlink"/>
            <w:rFonts w:eastAsia="Times New Roman"/>
            <w:szCs w:val="20"/>
          </w:rPr>
          <w:t>71/97</w:t>
        </w:r>
      </w:hyperlink>
      <w:r w:rsidR="00776BCA" w:rsidRPr="00776BCA">
        <w:rPr>
          <w:rFonts w:eastAsia="Times New Roman"/>
          <w:szCs w:val="20"/>
        </w:rPr>
        <w:t>.</w:t>
      </w:r>
      <w:r w:rsidR="00776BCA" w:rsidRPr="00776BCA">
        <w:rPr>
          <w:rFonts w:eastAsia="Times New Roman"/>
          <w:szCs w:val="20"/>
        </w:rPr>
        <w:tab/>
        <w:t>Израильские поселения на оккупированной палестинской территории, включая Восточный Иерусалим, и </w:t>
      </w:r>
      <w:proofErr w:type="gramStart"/>
      <w:r w:rsidR="00776BCA" w:rsidRPr="00776BCA">
        <w:rPr>
          <w:rFonts w:eastAsia="Times New Roman"/>
          <w:szCs w:val="20"/>
        </w:rPr>
        <w:t>оккупированных</w:t>
      </w:r>
      <w:proofErr w:type="gramEnd"/>
      <w:r w:rsidR="00776BCA" w:rsidRPr="00776BCA">
        <w:rPr>
          <w:rFonts w:eastAsia="Times New Roman"/>
          <w:szCs w:val="20"/>
        </w:rPr>
        <w:t xml:space="preserve"> сирийских </w:t>
      </w:r>
      <w:proofErr w:type="spellStart"/>
      <w:r w:rsidR="00776BCA" w:rsidRPr="00776BCA">
        <w:rPr>
          <w:rFonts w:eastAsia="Times New Roman"/>
          <w:szCs w:val="20"/>
        </w:rPr>
        <w:t>Голанах</w:t>
      </w:r>
      <w:proofErr w:type="spellEnd"/>
    </w:p>
    <w:p w:rsidR="00776BCA" w:rsidRPr="00776BCA" w:rsidRDefault="00776BCA" w:rsidP="00776BCA">
      <w:pPr>
        <w:pStyle w:val="SingleTxt"/>
        <w:spacing w:after="0" w:line="120" w:lineRule="exact"/>
        <w:rPr>
          <w:sz w:val="10"/>
          <w:lang w:val="ru-RU"/>
        </w:rPr>
      </w:pPr>
    </w:p>
    <w:p w:rsidR="00776BCA" w:rsidRPr="00776BCA" w:rsidRDefault="00776BCA" w:rsidP="00776BCA">
      <w:pPr>
        <w:pStyle w:val="SingleTxt"/>
        <w:spacing w:after="0" w:line="120" w:lineRule="exact"/>
        <w:rPr>
          <w:sz w:val="10"/>
          <w:lang w:val="ru-RU"/>
        </w:rPr>
      </w:pP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Генеральная Ассамблея</w:t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руководствуясь</w:t>
      </w:r>
      <w:r w:rsidRPr="00776BCA">
        <w:rPr>
          <w:lang w:val="ru-RU"/>
        </w:rPr>
        <w:t xml:space="preserve"> принципами Устава Организации Объединенных Наций и подтверждая недопустимость приобретения территории силой,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ссылаясь</w:t>
      </w:r>
      <w:r w:rsidRPr="00776BCA">
        <w:rPr>
          <w:lang w:val="ru-RU"/>
        </w:rPr>
        <w:t xml:space="preserve"> на свои соответствующие резолюции, в том числе на резолюцию </w:t>
      </w:r>
      <w:hyperlink r:id="rId15" w:history="1">
        <w:r w:rsidRPr="00EF4497">
          <w:rPr>
            <w:rStyle w:val="Hyperlink"/>
            <w:lang w:val="ru-RU"/>
          </w:rPr>
          <w:t>70/89</w:t>
        </w:r>
      </w:hyperlink>
      <w:r w:rsidRPr="00776BCA">
        <w:rPr>
          <w:lang w:val="ru-RU"/>
        </w:rPr>
        <w:t xml:space="preserve"> от 9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2015</w:t>
      </w:r>
      <w:r>
        <w:rPr>
          <w:lang w:val="ru-RU"/>
        </w:rPr>
        <w:t> года</w:t>
      </w:r>
      <w:r w:rsidRPr="00776BCA">
        <w:rPr>
          <w:lang w:val="ru-RU"/>
        </w:rPr>
        <w:t>, а также на резолюции, принятые на ее десятой чрезвычайной специальной сессии,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ссылаясь также</w:t>
      </w:r>
      <w:r w:rsidRPr="00776BCA">
        <w:rPr>
          <w:lang w:val="ru-RU"/>
        </w:rPr>
        <w:t xml:space="preserve"> на соответствующие резолюции Совета Безопасности, включая резолюции </w:t>
      </w:r>
      <w:hyperlink r:id="rId16" w:history="1">
        <w:r w:rsidRPr="00776BCA">
          <w:rPr>
            <w:rStyle w:val="Hyperlink"/>
            <w:lang w:val="ru-RU"/>
          </w:rPr>
          <w:t>242 (1967)</w:t>
        </w:r>
      </w:hyperlink>
      <w:r w:rsidRPr="00776BCA">
        <w:rPr>
          <w:lang w:val="ru-RU"/>
        </w:rPr>
        <w:t xml:space="preserve"> от 22</w:t>
      </w:r>
      <w:r>
        <w:rPr>
          <w:lang w:val="ru-RU"/>
        </w:rPr>
        <w:t> ноября</w:t>
      </w:r>
      <w:r w:rsidRPr="00776BCA">
        <w:rPr>
          <w:lang w:val="ru-RU"/>
        </w:rPr>
        <w:t xml:space="preserve"> 1967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hyperlink r:id="rId17" w:history="1">
        <w:r w:rsidRPr="00776BCA">
          <w:rPr>
            <w:rStyle w:val="Hyperlink"/>
            <w:lang w:val="ru-RU"/>
          </w:rPr>
          <w:t>446 (1979)</w:t>
        </w:r>
      </w:hyperlink>
      <w:r w:rsidRPr="00776BCA">
        <w:rPr>
          <w:lang w:val="ru-RU"/>
        </w:rPr>
        <w:t xml:space="preserve"> от 22</w:t>
      </w:r>
      <w:r>
        <w:rPr>
          <w:lang w:val="ru-RU"/>
        </w:rPr>
        <w:t> марта</w:t>
      </w:r>
      <w:r w:rsidRPr="00776BCA">
        <w:rPr>
          <w:lang w:val="ru-RU"/>
        </w:rPr>
        <w:t xml:space="preserve"> 1979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hyperlink r:id="rId18" w:history="1">
        <w:r w:rsidRPr="00776BCA">
          <w:rPr>
            <w:rStyle w:val="Hyperlink"/>
            <w:lang w:val="ru-RU"/>
          </w:rPr>
          <w:t>465 (1980)</w:t>
        </w:r>
      </w:hyperlink>
      <w:r w:rsidRPr="00776BCA">
        <w:rPr>
          <w:lang w:val="ru-RU"/>
        </w:rPr>
        <w:t xml:space="preserve"> от 1</w:t>
      </w:r>
      <w:r>
        <w:rPr>
          <w:lang w:val="ru-RU"/>
        </w:rPr>
        <w:t> марта</w:t>
      </w:r>
      <w:r w:rsidRPr="00776BCA">
        <w:rPr>
          <w:lang w:val="ru-RU"/>
        </w:rPr>
        <w:t xml:space="preserve"> 1980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hyperlink r:id="rId19" w:history="1">
        <w:r w:rsidRPr="00776BCA">
          <w:rPr>
            <w:rStyle w:val="Hyperlink"/>
            <w:lang w:val="ru-RU"/>
          </w:rPr>
          <w:t>476 (1980)</w:t>
        </w:r>
      </w:hyperlink>
      <w:r w:rsidRPr="00776BCA">
        <w:rPr>
          <w:lang w:val="ru-RU"/>
        </w:rPr>
        <w:t xml:space="preserve"> от 30</w:t>
      </w:r>
      <w:r>
        <w:rPr>
          <w:lang w:val="ru-RU"/>
        </w:rPr>
        <w:t> июня</w:t>
      </w:r>
      <w:r w:rsidRPr="00776BCA">
        <w:rPr>
          <w:lang w:val="ru-RU"/>
        </w:rPr>
        <w:t xml:space="preserve"> 1980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hyperlink r:id="rId20" w:history="1">
        <w:r w:rsidRPr="00776BCA">
          <w:rPr>
            <w:rStyle w:val="Hyperlink"/>
            <w:lang w:val="ru-RU"/>
          </w:rPr>
          <w:t>478 (1980)</w:t>
        </w:r>
      </w:hyperlink>
      <w:r w:rsidRPr="00776BCA">
        <w:rPr>
          <w:lang w:val="ru-RU"/>
        </w:rPr>
        <w:t xml:space="preserve"> от 20</w:t>
      </w:r>
      <w:r>
        <w:rPr>
          <w:lang w:val="ru-RU"/>
        </w:rPr>
        <w:t> августа</w:t>
      </w:r>
      <w:r w:rsidRPr="00776BCA">
        <w:rPr>
          <w:lang w:val="ru-RU"/>
        </w:rPr>
        <w:t xml:space="preserve"> 1980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hyperlink r:id="rId21" w:history="1">
        <w:r w:rsidRPr="00776BCA">
          <w:rPr>
            <w:rStyle w:val="Hyperlink"/>
            <w:lang w:val="ru-RU"/>
          </w:rPr>
          <w:t>497 (1981)</w:t>
        </w:r>
      </w:hyperlink>
      <w:r w:rsidRPr="00776BCA">
        <w:rPr>
          <w:lang w:val="ru-RU"/>
        </w:rPr>
        <w:t xml:space="preserve"> от 17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1981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</w:t>
      </w:r>
      <w:hyperlink r:id="rId22" w:history="1">
        <w:r w:rsidRPr="00776BCA">
          <w:rPr>
            <w:rStyle w:val="Hyperlink"/>
            <w:lang w:val="ru-RU"/>
          </w:rPr>
          <w:t>904 (1994)</w:t>
        </w:r>
      </w:hyperlink>
      <w:r w:rsidRPr="00776BCA">
        <w:rPr>
          <w:lang w:val="ru-RU"/>
        </w:rPr>
        <w:t xml:space="preserve"> от 18</w:t>
      </w:r>
      <w:r>
        <w:rPr>
          <w:lang w:val="ru-RU"/>
        </w:rPr>
        <w:t> марта</w:t>
      </w:r>
      <w:r w:rsidRPr="00776BCA">
        <w:rPr>
          <w:lang w:val="ru-RU"/>
        </w:rPr>
        <w:t xml:space="preserve"> 1994</w:t>
      </w:r>
      <w:r>
        <w:rPr>
          <w:lang w:val="ru-RU"/>
        </w:rPr>
        <w:t> года</w:t>
      </w:r>
      <w:r w:rsidRPr="00776BCA">
        <w:rPr>
          <w:lang w:val="ru-RU"/>
        </w:rPr>
        <w:t>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вновь подтверждая</w:t>
      </w:r>
      <w:r w:rsidRPr="00776BCA">
        <w:rPr>
          <w:lang w:val="ru-RU"/>
        </w:rPr>
        <w:t xml:space="preserve"> применимость Женевской конвенции от 12</w:t>
      </w:r>
      <w:r>
        <w:rPr>
          <w:lang w:val="ru-RU"/>
        </w:rPr>
        <w:t> августа</w:t>
      </w:r>
      <w:r w:rsidRPr="00776BCA">
        <w:rPr>
          <w:lang w:val="ru-RU"/>
        </w:rPr>
        <w:t xml:space="preserve"> 1949</w:t>
      </w:r>
      <w:r>
        <w:rPr>
          <w:lang w:val="ru-RU"/>
        </w:rPr>
        <w:t> года</w:t>
      </w:r>
      <w:r w:rsidRPr="00776BCA">
        <w:rPr>
          <w:lang w:val="ru-RU"/>
        </w:rPr>
        <w:t xml:space="preserve"> о защите гражданского населения во время войны</w:t>
      </w:r>
      <w:bookmarkStart w:id="1" w:name="_Ref469064620"/>
      <w:r w:rsidRPr="00776BCA">
        <w:rPr>
          <w:rStyle w:val="FootnoteReference"/>
          <w:lang w:val="ru-RU"/>
        </w:rPr>
        <w:footnoteReference w:id="1"/>
      </w:r>
      <w:bookmarkEnd w:id="1"/>
      <w:r w:rsidRPr="00776BCA">
        <w:rPr>
          <w:lang w:val="ru-RU"/>
        </w:rPr>
        <w:t xml:space="preserve"> к оккупированной палестинской территории, включая Восточный Иерусалим, и к </w:t>
      </w:r>
      <w:proofErr w:type="gramStart"/>
      <w:r w:rsidRPr="00776BCA">
        <w:rPr>
          <w:lang w:val="ru-RU"/>
        </w:rPr>
        <w:t>оккупированным</w:t>
      </w:r>
      <w:proofErr w:type="gramEnd"/>
      <w:r w:rsidRPr="00776BCA">
        <w:rPr>
          <w:lang w:val="ru-RU"/>
        </w:rPr>
        <w:t xml:space="preserve"> сирийским </w:t>
      </w:r>
      <w:proofErr w:type="spellStart"/>
      <w:r w:rsidRPr="00776BCA">
        <w:rPr>
          <w:lang w:val="ru-RU"/>
        </w:rPr>
        <w:t>Голанам</w:t>
      </w:r>
      <w:proofErr w:type="spellEnd"/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подтверждая</w:t>
      </w:r>
      <w:r w:rsidRPr="00776BCA">
        <w:rPr>
          <w:lang w:val="ru-RU"/>
        </w:rPr>
        <w:t>, что перемещение оккупирующей державой части своего гражданского населения на территорию, которую она оккупирует, является нарушением четвертой Женевской конвенции</w:t>
      </w:r>
      <w:r w:rsidRPr="00776BCA">
        <w:rPr>
          <w:vertAlign w:val="superscript"/>
          <w:lang w:val="ru-RU"/>
        </w:rPr>
        <w:fldChar w:fldCharType="begin"/>
      </w:r>
      <w:r w:rsidRPr="00776BCA">
        <w:rPr>
          <w:vertAlign w:val="superscript"/>
          <w:lang w:val="ru-RU"/>
        </w:rPr>
        <w:instrText xml:space="preserve"> NOTEREF _Ref469064620 \h </w:instrText>
      </w:r>
      <w:r>
        <w:rPr>
          <w:vertAlign w:val="superscript"/>
          <w:lang w:val="ru-RU"/>
        </w:rPr>
        <w:instrText xml:space="preserve"> \* MERGEFORMAT </w:instrText>
      </w:r>
      <w:r w:rsidRPr="00776BCA">
        <w:rPr>
          <w:vertAlign w:val="superscript"/>
          <w:lang w:val="ru-RU"/>
        </w:rPr>
      </w:r>
      <w:r w:rsidRPr="00776BCA">
        <w:rPr>
          <w:vertAlign w:val="superscript"/>
          <w:lang w:val="ru-RU"/>
        </w:rPr>
        <w:fldChar w:fldCharType="separate"/>
      </w:r>
      <w:r w:rsidR="000910FC">
        <w:rPr>
          <w:vertAlign w:val="superscript"/>
          <w:lang w:val="ru-RU"/>
        </w:rPr>
        <w:t>1</w:t>
      </w:r>
      <w:r w:rsidRPr="00776BCA">
        <w:rPr>
          <w:vertAlign w:val="superscript"/>
          <w:lang w:val="ru-RU"/>
        </w:rPr>
        <w:fldChar w:fldCharType="end"/>
      </w:r>
      <w:r w:rsidRPr="00776BCA">
        <w:rPr>
          <w:lang w:val="ru-RU"/>
        </w:rPr>
        <w:t xml:space="preserve"> и соответствующих положений обычного права, включая нормы, кодифицированные в Дополнительном протоколе I</w:t>
      </w:r>
      <w:r w:rsidRPr="00776BCA">
        <w:rPr>
          <w:vertAlign w:val="superscript"/>
          <w:lang w:val="ru-RU"/>
        </w:rPr>
        <w:footnoteReference w:id="2"/>
      </w:r>
      <w:r w:rsidRPr="00776BCA">
        <w:rPr>
          <w:lang w:val="ru-RU"/>
        </w:rPr>
        <w:t xml:space="preserve"> к четырем Женевским конвенциям</w:t>
      </w:r>
      <w:r w:rsidRPr="00776BCA">
        <w:rPr>
          <w:vertAlign w:val="superscript"/>
          <w:lang w:val="ru-RU"/>
        </w:rPr>
        <w:footnoteReference w:id="3"/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ссылаясь </w:t>
      </w:r>
      <w:r w:rsidRPr="00776BCA">
        <w:rPr>
          <w:lang w:val="ru-RU"/>
        </w:rPr>
        <w:t>на вынесенное Международным Судом 9</w:t>
      </w:r>
      <w:r>
        <w:rPr>
          <w:lang w:val="ru-RU"/>
        </w:rPr>
        <w:t> июля</w:t>
      </w:r>
      <w:r w:rsidRPr="00776BCA">
        <w:rPr>
          <w:lang w:val="ru-RU"/>
        </w:rPr>
        <w:t xml:space="preserve"> 2004</w:t>
      </w:r>
      <w:r>
        <w:rPr>
          <w:lang w:val="ru-RU"/>
        </w:rPr>
        <w:t> года</w:t>
      </w:r>
      <w:r w:rsidRPr="00776BCA">
        <w:rPr>
          <w:lang w:val="ru-RU"/>
        </w:rPr>
        <w:t xml:space="preserve"> </w:t>
      </w:r>
      <w:proofErr w:type="gramStart"/>
      <w:r w:rsidRPr="00776BCA">
        <w:rPr>
          <w:lang w:val="ru-RU"/>
        </w:rPr>
        <w:t xml:space="preserve">консультативное заключение относительно правовых последствий </w:t>
      </w:r>
      <w:r w:rsidRPr="00776BCA">
        <w:rPr>
          <w:lang w:val="ru-RU"/>
        </w:rPr>
        <w:lastRenderedPageBreak/>
        <w:t>строительства стены на оккупированной палестинской территории</w:t>
      </w:r>
      <w:bookmarkStart w:id="2" w:name="_Ref404087335"/>
      <w:r w:rsidRPr="00776BCA">
        <w:rPr>
          <w:vertAlign w:val="superscript"/>
          <w:lang w:val="ru-RU"/>
        </w:rPr>
        <w:footnoteReference w:id="4"/>
      </w:r>
      <w:bookmarkEnd w:id="2"/>
      <w:r w:rsidRPr="00776BCA">
        <w:rPr>
          <w:lang w:val="ru-RU"/>
        </w:rPr>
        <w:t xml:space="preserve"> и ссылаясь</w:t>
      </w:r>
      <w:proofErr w:type="gramEnd"/>
      <w:r w:rsidRPr="00776BCA">
        <w:rPr>
          <w:lang w:val="ru-RU"/>
        </w:rPr>
        <w:t xml:space="preserve"> также на резолюции Генеральной Ассамблеи ES-</w:t>
      </w:r>
      <w:hyperlink r:id="rId23" w:history="1">
        <w:r w:rsidRPr="00EF4497">
          <w:rPr>
            <w:rStyle w:val="Hyperlink"/>
            <w:lang w:val="ru-RU"/>
          </w:rPr>
          <w:t>10/15</w:t>
        </w:r>
      </w:hyperlink>
      <w:r w:rsidRPr="00776BCA">
        <w:rPr>
          <w:lang w:val="ru-RU"/>
        </w:rPr>
        <w:t xml:space="preserve"> от 20</w:t>
      </w:r>
      <w:r>
        <w:rPr>
          <w:lang w:val="ru-RU"/>
        </w:rPr>
        <w:t> июля</w:t>
      </w:r>
      <w:r w:rsidRPr="00776BCA">
        <w:rPr>
          <w:lang w:val="ru-RU"/>
        </w:rPr>
        <w:t xml:space="preserve"> 2004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ES-</w:t>
      </w:r>
      <w:hyperlink r:id="rId24" w:history="1">
        <w:r w:rsidRPr="00EF4497">
          <w:rPr>
            <w:rStyle w:val="Hyperlink"/>
            <w:lang w:val="ru-RU"/>
          </w:rPr>
          <w:t>10/17</w:t>
        </w:r>
      </w:hyperlink>
      <w:r w:rsidRPr="00776BCA">
        <w:rPr>
          <w:lang w:val="ru-RU"/>
        </w:rPr>
        <w:t xml:space="preserve"> от 15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2006</w:t>
      </w:r>
      <w:r>
        <w:rPr>
          <w:lang w:val="ru-RU"/>
        </w:rPr>
        <w:t> года</w:t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отмечая</w:t>
      </w:r>
      <w:r w:rsidRPr="00776BCA">
        <w:rPr>
          <w:lang w:val="ru-RU"/>
        </w:rPr>
        <w:t>, что Международный Суд пришел к выводу о том, что «израильские поселения на оккупированной палестинской территории (включая Восточный Иерусалим) были созданы в нарушение международного права»</w:t>
      </w:r>
      <w:r w:rsidRPr="00776BCA">
        <w:rPr>
          <w:vertAlign w:val="superscript"/>
          <w:lang w:val="ru-RU"/>
        </w:rPr>
        <w:footnoteReference w:id="5"/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принимая </w:t>
      </w:r>
      <w:proofErr w:type="gramStart"/>
      <w:r w:rsidRPr="00776BCA">
        <w:rPr>
          <w:i/>
          <w:lang w:val="ru-RU"/>
        </w:rPr>
        <w:t xml:space="preserve">к сведению </w:t>
      </w:r>
      <w:r w:rsidRPr="00776BCA">
        <w:rPr>
          <w:lang w:val="ru-RU"/>
        </w:rPr>
        <w:t>недавние доклады Специального докладчика Совета по правам человека по вопросу о положении в области</w:t>
      </w:r>
      <w:proofErr w:type="gramEnd"/>
      <w:r w:rsidRPr="00776BCA">
        <w:rPr>
          <w:lang w:val="ru-RU"/>
        </w:rPr>
        <w:t xml:space="preserve"> прав человека на палестинских территориях, оккупированных с 1967</w:t>
      </w:r>
      <w:r>
        <w:rPr>
          <w:lang w:val="ru-RU"/>
        </w:rPr>
        <w:t> года</w:t>
      </w:r>
      <w:r w:rsidRPr="00776BCA">
        <w:rPr>
          <w:vertAlign w:val="superscript"/>
          <w:lang w:val="ru-RU"/>
        </w:rPr>
        <w:footnoteReference w:id="6"/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ссылаясь</w:t>
      </w:r>
      <w:r w:rsidRPr="00776BCA">
        <w:rPr>
          <w:lang w:val="ru-RU"/>
        </w:rPr>
        <w:t xml:space="preserve"> на доклад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</w:t>
      </w:r>
      <w:r w:rsidRPr="00776BCA">
        <w:rPr>
          <w:vertAlign w:val="superscript"/>
          <w:lang w:val="ru-RU"/>
        </w:rPr>
        <w:footnoteReference w:id="7"/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ссылаясь также</w:t>
      </w:r>
      <w:r w:rsidRPr="00776BCA">
        <w:rPr>
          <w:lang w:val="ru-RU"/>
        </w:rPr>
        <w:t xml:space="preserve"> на заявление от 15</w:t>
      </w:r>
      <w:r>
        <w:rPr>
          <w:lang w:val="ru-RU"/>
        </w:rPr>
        <w:t> июля</w:t>
      </w:r>
      <w:r w:rsidRPr="00776BCA">
        <w:rPr>
          <w:lang w:val="ru-RU"/>
        </w:rPr>
        <w:t xml:space="preserve"> 1999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декларации от 5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2001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от 17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2014</w:t>
      </w:r>
      <w:r>
        <w:rPr>
          <w:lang w:val="ru-RU"/>
        </w:rPr>
        <w:t> года</w:t>
      </w:r>
      <w:bookmarkStart w:id="3" w:name="_Ref435608856"/>
      <w:r w:rsidRPr="00776BCA">
        <w:rPr>
          <w:vertAlign w:val="superscript"/>
          <w:lang w:val="ru-RU"/>
        </w:rPr>
        <w:footnoteReference w:id="8"/>
      </w:r>
      <w:bookmarkEnd w:id="3"/>
      <w:r w:rsidRPr="00776BCA">
        <w:rPr>
          <w:lang w:val="ru-RU"/>
        </w:rPr>
        <w:t>, принятые Конференцией Высоких Договаривающихся Сторон четвертой Женевской конвенции по вопросу о мерах обеспечения выполнения Конвенции на оккупированной палестинской территории, включая Восточный Иерусалим, с целью добиться соблюдения Конвенции на оккупированной палестинской территории, включая Восточный Иерусалим,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ссылаясь далее </w:t>
      </w:r>
      <w:r w:rsidRPr="00776BCA">
        <w:rPr>
          <w:lang w:val="ru-RU"/>
        </w:rPr>
        <w:t>на Декларацию принципов о временных мерах по самоуправлению от 13</w:t>
      </w:r>
      <w:r>
        <w:rPr>
          <w:lang w:val="ru-RU"/>
        </w:rPr>
        <w:t> сентября</w:t>
      </w:r>
      <w:r w:rsidRPr="00776BCA">
        <w:rPr>
          <w:lang w:val="ru-RU"/>
        </w:rPr>
        <w:t xml:space="preserve"> 1993</w:t>
      </w:r>
      <w:r>
        <w:rPr>
          <w:lang w:val="ru-RU"/>
        </w:rPr>
        <w:t> года</w:t>
      </w:r>
      <w:r w:rsidRPr="00776BCA">
        <w:rPr>
          <w:vertAlign w:val="superscript"/>
          <w:lang w:val="ru-RU"/>
        </w:rPr>
        <w:footnoteReference w:id="9"/>
      </w:r>
      <w:r w:rsidRPr="00776BCA">
        <w:rPr>
          <w:lang w:val="ru-RU"/>
        </w:rPr>
        <w:t xml:space="preserve"> и последующие </w:t>
      </w:r>
      <w:proofErr w:type="spellStart"/>
      <w:r w:rsidRPr="00776BCA">
        <w:rPr>
          <w:lang w:val="ru-RU"/>
        </w:rPr>
        <w:t>имплементационные</w:t>
      </w:r>
      <w:proofErr w:type="spellEnd"/>
      <w:r w:rsidRPr="00776BCA">
        <w:rPr>
          <w:lang w:val="ru-RU"/>
        </w:rPr>
        <w:t xml:space="preserve"> соглашения между палестинской и израильской сторонами,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 xml:space="preserve">ссылаясь </w:t>
      </w:r>
      <w:r w:rsidRPr="00776BCA">
        <w:rPr>
          <w:lang w:val="ru-RU"/>
        </w:rPr>
        <w:t>на представленную «четверкой» «дорожную карту» продвижения к постоянному урегулированию палестино-израильского конфликта в соответствии с принципом сосуществования двух государств</w:t>
      </w:r>
      <w:r w:rsidRPr="00776BCA">
        <w:rPr>
          <w:vertAlign w:val="superscript"/>
          <w:lang w:val="ru-RU"/>
        </w:rPr>
        <w:footnoteReference w:id="10"/>
      </w:r>
      <w:r w:rsidRPr="00776BCA">
        <w:rPr>
          <w:lang w:val="ru-RU"/>
        </w:rPr>
        <w:t xml:space="preserve"> и особенно подчеркивая ее призыв к замораживанию всей поселенческой деятельности, включая так называемый «естественный рост», и </w:t>
      </w:r>
      <w:proofErr w:type="spellStart"/>
      <w:r w:rsidRPr="00776BCA">
        <w:rPr>
          <w:lang w:val="ru-RU"/>
        </w:rPr>
        <w:t>демонтированию</w:t>
      </w:r>
      <w:proofErr w:type="spellEnd"/>
      <w:r w:rsidRPr="00776BCA">
        <w:rPr>
          <w:lang w:val="ru-RU"/>
        </w:rPr>
        <w:t xml:space="preserve"> всех поселений-аванпостов, созданных после</w:t>
      </w:r>
      <w:r>
        <w:rPr>
          <w:lang w:val="ru-RU"/>
        </w:rPr>
        <w:t> марта</w:t>
      </w:r>
      <w:r w:rsidRPr="00776BCA">
        <w:rPr>
          <w:lang w:val="ru-RU"/>
        </w:rPr>
        <w:t xml:space="preserve"> 2001</w:t>
      </w:r>
      <w:r>
        <w:rPr>
          <w:lang w:val="ru-RU"/>
        </w:rPr>
        <w:t> года</w:t>
      </w:r>
      <w:r w:rsidRPr="00776BCA">
        <w:rPr>
          <w:lang w:val="ru-RU"/>
        </w:rPr>
        <w:t>, и необходимость соблюдения Израилем своих обязательств и обещаний в этой связи,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ссылаясь также </w:t>
      </w:r>
      <w:r w:rsidRPr="00776BCA">
        <w:rPr>
          <w:lang w:val="ru-RU"/>
        </w:rPr>
        <w:t>на свою резолюцию </w:t>
      </w:r>
      <w:hyperlink r:id="rId25" w:history="1">
        <w:r w:rsidRPr="00EF4497">
          <w:rPr>
            <w:rStyle w:val="Hyperlink"/>
            <w:lang w:val="ru-RU"/>
          </w:rPr>
          <w:t>67/19</w:t>
        </w:r>
      </w:hyperlink>
      <w:r w:rsidRPr="00776BCA">
        <w:rPr>
          <w:lang w:val="ru-RU"/>
        </w:rPr>
        <w:t xml:space="preserve"> от 29</w:t>
      </w:r>
      <w:r>
        <w:rPr>
          <w:lang w:val="ru-RU"/>
        </w:rPr>
        <w:t> ноября</w:t>
      </w:r>
      <w:r w:rsidRPr="00776BCA">
        <w:rPr>
          <w:lang w:val="ru-RU"/>
        </w:rPr>
        <w:t xml:space="preserve"> 2012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принимая к сведению</w:t>
      </w:r>
      <w:r w:rsidRPr="00776BCA">
        <w:rPr>
          <w:lang w:val="ru-RU"/>
        </w:rPr>
        <w:t xml:space="preserve"> присоединение Палестины к нескольким договорам по правам человека и основным конвенциям по гуманитарному праву, а также другим международным договорам,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lastRenderedPageBreak/>
        <w:tab/>
      </w:r>
      <w:proofErr w:type="gramStart"/>
      <w:r w:rsidRPr="00776BCA">
        <w:rPr>
          <w:i/>
          <w:lang w:val="ru-RU"/>
        </w:rPr>
        <w:t>учитывая</w:t>
      </w:r>
      <w:r w:rsidRPr="00776BCA">
        <w:rPr>
          <w:lang w:val="ru-RU"/>
        </w:rPr>
        <w:t xml:space="preserve">, что поселенческая деятельность Израиля сопряжена, в частности, с переселением граждан оккупирующей державы на оккупированные территории, конфискацией земли, насильственным перемещением палестинских гражданских лиц, в том числе семей бедуинов, эксплуатацией природных ресурсов, фрагментацией территории и другими действиями, направленными против палестинского гражданского населения и гражданского населения на оккупированных сирийских </w:t>
      </w:r>
      <w:proofErr w:type="spellStart"/>
      <w:r w:rsidRPr="00776BCA">
        <w:rPr>
          <w:lang w:val="ru-RU"/>
        </w:rPr>
        <w:t>Голанах</w:t>
      </w:r>
      <w:proofErr w:type="spellEnd"/>
      <w:r w:rsidRPr="00776BCA">
        <w:rPr>
          <w:lang w:val="ru-RU"/>
        </w:rPr>
        <w:t xml:space="preserve"> в нарушение международного права,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принимая во внимание</w:t>
      </w:r>
      <w:r w:rsidRPr="00776BCA">
        <w:rPr>
          <w:lang w:val="ru-RU"/>
        </w:rPr>
        <w:t xml:space="preserve"> исключительно пагубное воздействие поселенческих политики, решений и мероприятий Израиля на предпринимаемые региональные и международные усилия по возобновлению и продвижению вперед мирного процесса, на перспективы достижения мира на Ближнем Востоке в соответствии с принципом сосуществования двух государств — Израиля и Палестины, — живущих бок о бок в условиях мира и безопасности в рамках признанных границ, основанных на границах, существовавших до</w:t>
      </w:r>
      <w:proofErr w:type="gramEnd"/>
      <w:r w:rsidRPr="00776BCA">
        <w:rPr>
          <w:lang w:val="ru-RU"/>
        </w:rPr>
        <w:t xml:space="preserve"> 1967</w:t>
      </w:r>
      <w:r>
        <w:rPr>
          <w:lang w:val="ru-RU"/>
        </w:rPr>
        <w:t> года</w:t>
      </w:r>
      <w:r w:rsidRPr="00776BCA">
        <w:rPr>
          <w:lang w:val="ru-RU"/>
        </w:rPr>
        <w:t>, а также на жизнеспособность и авторитетность этого принципа,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 xml:space="preserve">выражая крайнюю обеспокоенность </w:t>
      </w:r>
      <w:r w:rsidRPr="00776BCA">
        <w:rPr>
          <w:lang w:val="ru-RU"/>
        </w:rPr>
        <w:t>по поводу того, что Израиль, оккупирующая держава, продолжает поселенческую деятельность на оккупированной палестинской территории, включая Восточный Иерусалим, и осуждая эту деятельность как нарушение международного гуманитарного права, соответствующих резолюций Организации Объединенных Наций, достигнутых между сторонами договоренностей и взятых обязательств по предложенной «четверкой» «дорожной карте» и как игнорирование призывов международного сообщества к прекращению всей поселенческой деятельности,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осуждая</w:t>
      </w:r>
      <w:r w:rsidRPr="00776BCA">
        <w:rPr>
          <w:lang w:val="ru-RU"/>
        </w:rPr>
        <w:t xml:space="preserve"> поселенческую деятельность на оккупированной палестинской территории, включая Восточный Иерусалим, и на оккупированных сирийских </w:t>
      </w:r>
      <w:proofErr w:type="spellStart"/>
      <w:r w:rsidRPr="00776BCA">
        <w:rPr>
          <w:lang w:val="ru-RU"/>
        </w:rPr>
        <w:t>Голанах</w:t>
      </w:r>
      <w:proofErr w:type="spellEnd"/>
      <w:r w:rsidRPr="00776BCA">
        <w:rPr>
          <w:lang w:val="ru-RU"/>
        </w:rPr>
        <w:t xml:space="preserve"> и любую деятельность, сопряженную с конфискацией земли, лишением находящихся под защитой лиц средств к существованию, насильственным перемещением гражданских лиц и фактической аннексией земли,</w:t>
      </w:r>
      <w:proofErr w:type="gramEnd"/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сожалея,</w:t>
      </w:r>
      <w:r w:rsidRPr="00776BCA">
        <w:rPr>
          <w:lang w:val="ru-RU"/>
        </w:rPr>
        <w:t xml:space="preserve"> </w:t>
      </w:r>
      <w:r w:rsidRPr="00776BCA">
        <w:rPr>
          <w:i/>
          <w:lang w:val="ru-RU"/>
        </w:rPr>
        <w:t>в частности</w:t>
      </w:r>
      <w:r w:rsidRPr="00776BCA">
        <w:rPr>
          <w:lang w:val="ru-RU"/>
        </w:rPr>
        <w:t>, о строительстве и расширении Израилем поселений в оккупированном Восточном Иерусалиме и его окрестностях, включая его так называемый «план E-1», направленный на соединение израильских незаконных поселений вокруг оккупированного Восточного Иерусалима и его дальнейшую изоляцию, продолжающемся сносе палестинских домов и выселении из города палестинских семей, лишении палестинцев прав на проживание в городе, а также продолжающейся поселенческой деятельности в долине</w:t>
      </w:r>
      <w:proofErr w:type="gramEnd"/>
      <w:r w:rsidRPr="00776BCA">
        <w:rPr>
          <w:lang w:val="ru-RU"/>
        </w:rPr>
        <w:t xml:space="preserve"> реки Иордан, которые способствуют дальнейшей фрагментации оккупированных палестинских территорий и нарушают их неразрывность,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отмечая</w:t>
      </w:r>
      <w:r w:rsidRPr="00776BCA">
        <w:rPr>
          <w:lang w:val="ru-RU"/>
        </w:rPr>
        <w:t xml:space="preserve"> доклад «четверки» от 1</w:t>
      </w:r>
      <w:r>
        <w:rPr>
          <w:lang w:val="ru-RU"/>
        </w:rPr>
        <w:t> июля</w:t>
      </w:r>
      <w:r w:rsidRPr="00776BCA">
        <w:rPr>
          <w:lang w:val="ru-RU"/>
        </w:rPr>
        <w:t xml:space="preserve"> 2016</w:t>
      </w:r>
      <w:r>
        <w:rPr>
          <w:lang w:val="ru-RU"/>
        </w:rPr>
        <w:t> года</w:t>
      </w:r>
      <w:r w:rsidRPr="00776BCA">
        <w:rPr>
          <w:vertAlign w:val="superscript"/>
          <w:lang w:val="ru-RU"/>
        </w:rPr>
        <w:footnoteReference w:id="11"/>
      </w:r>
      <w:r w:rsidRPr="00776BCA">
        <w:rPr>
          <w:lang w:val="ru-RU"/>
        </w:rPr>
        <w:t xml:space="preserve"> и подчеркивая ее рекомендации, а также последние заявления, в том числе от 30</w:t>
      </w:r>
      <w:r>
        <w:rPr>
          <w:lang w:val="ru-RU"/>
        </w:rPr>
        <w:t> сентября</w:t>
      </w:r>
      <w:r w:rsidRPr="00776BCA">
        <w:rPr>
          <w:lang w:val="ru-RU"/>
        </w:rPr>
        <w:t xml:space="preserve"> 2015</w:t>
      </w:r>
      <w:r>
        <w:rPr>
          <w:lang w:val="ru-RU"/>
        </w:rPr>
        <w:t> года</w:t>
      </w:r>
      <w:r w:rsidRPr="00776BCA">
        <w:rPr>
          <w:lang w:val="ru-RU"/>
        </w:rPr>
        <w:t>, 23</w:t>
      </w:r>
      <w:r>
        <w:rPr>
          <w:lang w:val="ru-RU"/>
        </w:rPr>
        <w:t> октября</w:t>
      </w:r>
      <w:r w:rsidRPr="00776BCA">
        <w:rPr>
          <w:lang w:val="ru-RU"/>
        </w:rPr>
        <w:t xml:space="preserve"> 2015</w:t>
      </w:r>
      <w:r>
        <w:rPr>
          <w:lang w:val="ru-RU"/>
        </w:rPr>
        <w:t> года</w:t>
      </w:r>
      <w:r w:rsidRPr="00776BCA">
        <w:rPr>
          <w:lang w:val="ru-RU"/>
        </w:rPr>
        <w:t>, 12</w:t>
      </w:r>
      <w:r>
        <w:rPr>
          <w:lang w:val="ru-RU"/>
        </w:rPr>
        <w:t> февраля</w:t>
      </w:r>
      <w:r w:rsidRPr="00776BCA">
        <w:rPr>
          <w:lang w:val="ru-RU"/>
        </w:rPr>
        <w:t xml:space="preserve"> 2016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23</w:t>
      </w:r>
      <w:r>
        <w:rPr>
          <w:lang w:val="ru-RU"/>
        </w:rPr>
        <w:t> сентября</w:t>
      </w:r>
      <w:r w:rsidRPr="00776BCA">
        <w:rPr>
          <w:lang w:val="ru-RU"/>
        </w:rPr>
        <w:t xml:space="preserve"> 2016</w:t>
      </w:r>
      <w:r>
        <w:rPr>
          <w:lang w:val="ru-RU"/>
        </w:rPr>
        <w:t> года</w:t>
      </w:r>
      <w:r w:rsidRPr="00776BCA">
        <w:rPr>
          <w:lang w:val="ru-RU"/>
        </w:rPr>
        <w:t>, в которых члены «четверки» пришли, в частности, к выводу о том, что продолжающаяся политика строительства и расширения поселений, отведения земельных участков для пользования</w:t>
      </w:r>
      <w:proofErr w:type="gramEnd"/>
      <w:r w:rsidRPr="00776BCA">
        <w:rPr>
          <w:lang w:val="ru-RU"/>
        </w:rPr>
        <w:t xml:space="preserve"> исключительно израильтянами и недопущения палестинского строительства, в том числе большое число сносов, последовательно подрывают жизнеспособность принципа сосуществования двух государств,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сожалея</w:t>
      </w:r>
      <w:r w:rsidRPr="00776BCA">
        <w:rPr>
          <w:lang w:val="ru-RU"/>
        </w:rPr>
        <w:t xml:space="preserve"> о продолжении незаконного строительства Израилем стены в пределах оккупированной палестинской территории, в том числе в Восточном Иерусалиме и его окрестностях, и выражая, в частности, обеспокоенность тем, что маршрут прокладки стены отклоняется от линии перемирия 1949</w:t>
      </w:r>
      <w:r>
        <w:rPr>
          <w:lang w:val="ru-RU"/>
        </w:rPr>
        <w:t> года</w:t>
      </w:r>
      <w:r w:rsidRPr="00776BCA">
        <w:rPr>
          <w:lang w:val="ru-RU"/>
        </w:rPr>
        <w:t>, что создает гуманитарные тяготы и ведет к серьезному ухудшению социально-экономического положения палестинцев, нарушает территориальную неразрывность палестинской территории, обусловливая ее фрагментацию, и подрывает ее</w:t>
      </w:r>
      <w:proofErr w:type="gramEnd"/>
      <w:r w:rsidRPr="00776BCA">
        <w:rPr>
          <w:lang w:val="ru-RU"/>
        </w:rPr>
        <w:t xml:space="preserve"> жизнеспособность, а также способно предрешить исход будущих переговоров и сделать физически невозможным урегулирование на основе принципа сосуществования двух государств,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будучи глубоко обеспокоена</w:t>
      </w:r>
      <w:r w:rsidRPr="00776BCA">
        <w:rPr>
          <w:lang w:val="ru-RU"/>
        </w:rPr>
        <w:t xml:space="preserve"> тем, что маршрут стены был проложен таким образом, чтобы включить подавляющее большинство израильских поселений на оккупированной палестинской территории, включая Восточный Иерусалим,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осуждая</w:t>
      </w:r>
      <w:r w:rsidRPr="00776BCA">
        <w:rPr>
          <w:lang w:val="ru-RU"/>
        </w:rPr>
        <w:t xml:space="preserve"> акты насилия и террора против гражданских лиц у обеих сторон и напоминая</w:t>
      </w:r>
      <w:r w:rsidRPr="00776BCA">
        <w:rPr>
          <w:i/>
          <w:lang w:val="ru-RU"/>
        </w:rPr>
        <w:t xml:space="preserve"> </w:t>
      </w:r>
      <w:r w:rsidRPr="00776BCA">
        <w:rPr>
          <w:lang w:val="ru-RU"/>
        </w:rPr>
        <w:t xml:space="preserve">о необходимости положить </w:t>
      </w:r>
      <w:proofErr w:type="gramStart"/>
      <w:r w:rsidRPr="00776BCA">
        <w:rPr>
          <w:lang w:val="ru-RU"/>
        </w:rPr>
        <w:t>конец</w:t>
      </w:r>
      <w:proofErr w:type="gramEnd"/>
      <w:r w:rsidRPr="00776BCA">
        <w:rPr>
          <w:lang w:val="ru-RU"/>
        </w:rPr>
        <w:t xml:space="preserve"> всем актам насилия, включая акты террора, провокаций, подстрекательства и разрушений,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i/>
          <w:lang w:val="ru-RU"/>
        </w:rPr>
        <w:t>осуждая также</w:t>
      </w:r>
      <w:r w:rsidRPr="00776BCA">
        <w:rPr>
          <w:lang w:val="ru-RU"/>
        </w:rPr>
        <w:t xml:space="preserve"> все случаи применения израильскими поселенцами на оккупированной палестинской территории, включая Восточный Иерусалим, насилия, уничтожения, преследования, провокаций и подстрекательства против палестинских гражданских лиц, в том числе детей, и их собственности, включая исторические и религиозные объекты, и сельскохозяйственных угодий, а также акты террора со стороны нескольких </w:t>
      </w:r>
      <w:proofErr w:type="spellStart"/>
      <w:r w:rsidRPr="00776BCA">
        <w:rPr>
          <w:lang w:val="ru-RU"/>
        </w:rPr>
        <w:t>экстремистски</w:t>
      </w:r>
      <w:proofErr w:type="spellEnd"/>
      <w:r w:rsidRPr="00776BCA">
        <w:rPr>
          <w:lang w:val="ru-RU"/>
        </w:rPr>
        <w:t xml:space="preserve"> настроенных израильских поселенцев и призывая к ответственности за незаконные действия, совершаемые в этой</w:t>
      </w:r>
      <w:proofErr w:type="gramEnd"/>
      <w:r w:rsidRPr="00776BCA">
        <w:rPr>
          <w:lang w:val="ru-RU"/>
        </w:rPr>
        <w:t xml:space="preserve"> связи,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принимая к сведению </w:t>
      </w:r>
      <w:r w:rsidRPr="00776BCA">
        <w:rPr>
          <w:lang w:val="ru-RU"/>
        </w:rPr>
        <w:t>соответствующие доклады Генерального секретаря</w:t>
      </w:r>
      <w:r w:rsidRPr="00776BCA">
        <w:rPr>
          <w:vertAlign w:val="superscript"/>
          <w:lang w:val="ru-RU"/>
        </w:rPr>
        <w:footnoteReference w:id="12"/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r w:rsidRPr="00776BCA">
        <w:rPr>
          <w:i/>
          <w:lang w:val="ru-RU"/>
        </w:rPr>
        <w:t>отмечая</w:t>
      </w:r>
      <w:r w:rsidRPr="00776BCA">
        <w:rPr>
          <w:lang w:val="ru-RU"/>
        </w:rPr>
        <w:t xml:space="preserve"> специальное заседание Совета Безопасности, состоявшееся 26</w:t>
      </w:r>
      <w:r>
        <w:rPr>
          <w:lang w:val="ru-RU"/>
        </w:rPr>
        <w:t> сентября</w:t>
      </w:r>
      <w:r w:rsidRPr="00776BCA">
        <w:rPr>
          <w:lang w:val="ru-RU"/>
        </w:rPr>
        <w:t xml:space="preserve"> 2008</w:t>
      </w:r>
      <w:r>
        <w:rPr>
          <w:lang w:val="ru-RU"/>
        </w:rPr>
        <w:t> года</w:t>
      </w:r>
      <w:r w:rsidRPr="00776BCA">
        <w:rPr>
          <w:lang w:val="ru-RU"/>
        </w:rPr>
        <w:t>, а также заседание Совета от 18</w:t>
      </w:r>
      <w:r>
        <w:rPr>
          <w:lang w:val="ru-RU"/>
        </w:rPr>
        <w:t> февраля</w:t>
      </w:r>
      <w:r w:rsidRPr="00776BCA">
        <w:rPr>
          <w:lang w:val="ru-RU"/>
        </w:rPr>
        <w:t xml:space="preserve"> 2011</w:t>
      </w:r>
      <w:r>
        <w:rPr>
          <w:lang w:val="ru-RU"/>
        </w:rPr>
        <w:t> года</w:t>
      </w:r>
      <w:r w:rsidRPr="00776BCA">
        <w:rPr>
          <w:lang w:val="ru-RU"/>
        </w:rPr>
        <w:t>,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1.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вновь подтверждает</w:t>
      </w:r>
      <w:r w:rsidRPr="00776BCA">
        <w:rPr>
          <w:lang w:val="ru-RU"/>
        </w:rPr>
        <w:t xml:space="preserve">, что израильские поселения на оккупированной палестинской территории, включая Восточный Иерусалим, и на </w:t>
      </w:r>
      <w:proofErr w:type="gramStart"/>
      <w:r w:rsidRPr="00776BCA">
        <w:rPr>
          <w:lang w:val="ru-RU"/>
        </w:rPr>
        <w:t>оккупированных</w:t>
      </w:r>
      <w:proofErr w:type="gramEnd"/>
      <w:r w:rsidRPr="00776BCA">
        <w:rPr>
          <w:lang w:val="ru-RU"/>
        </w:rPr>
        <w:t xml:space="preserve"> сирийских </w:t>
      </w:r>
      <w:proofErr w:type="spellStart"/>
      <w:r w:rsidRPr="00776BCA">
        <w:rPr>
          <w:lang w:val="ru-RU"/>
        </w:rPr>
        <w:t>Голанах</w:t>
      </w:r>
      <w:proofErr w:type="spellEnd"/>
      <w:r w:rsidRPr="00776BCA">
        <w:rPr>
          <w:lang w:val="ru-RU"/>
        </w:rPr>
        <w:t xml:space="preserve"> являются незаконными и препятствуют достижению мира и социально-экономическому развитию;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lang w:val="ru-RU"/>
        </w:rPr>
        <w:t>2.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призывает</w:t>
      </w:r>
      <w:r w:rsidRPr="00776BCA">
        <w:rPr>
          <w:lang w:val="ru-RU"/>
        </w:rPr>
        <w:t xml:space="preserve"> Израиль признать юридическую применимость Женевской конвенции от 12</w:t>
      </w:r>
      <w:r>
        <w:rPr>
          <w:lang w:val="ru-RU"/>
        </w:rPr>
        <w:t> августа</w:t>
      </w:r>
      <w:r w:rsidRPr="00776BCA">
        <w:rPr>
          <w:lang w:val="ru-RU"/>
        </w:rPr>
        <w:t xml:space="preserve"> 1949</w:t>
      </w:r>
      <w:r>
        <w:rPr>
          <w:lang w:val="ru-RU"/>
        </w:rPr>
        <w:t> года</w:t>
      </w:r>
      <w:r w:rsidRPr="00776BCA">
        <w:rPr>
          <w:lang w:val="ru-RU"/>
        </w:rPr>
        <w:t xml:space="preserve"> о защите гражданского населения во время войны</w:t>
      </w:r>
      <w:r w:rsidRPr="00776BCA">
        <w:rPr>
          <w:vertAlign w:val="superscript"/>
          <w:lang w:val="ru-RU"/>
        </w:rPr>
        <w:fldChar w:fldCharType="begin"/>
      </w:r>
      <w:r w:rsidRPr="00776BCA">
        <w:rPr>
          <w:vertAlign w:val="superscript"/>
          <w:lang w:val="ru-RU"/>
        </w:rPr>
        <w:instrText xml:space="preserve"> NOTEREF _Ref469064620 \h </w:instrText>
      </w:r>
      <w:r>
        <w:rPr>
          <w:vertAlign w:val="superscript"/>
          <w:lang w:val="ru-RU"/>
        </w:rPr>
        <w:instrText xml:space="preserve"> \* MERGEFORMAT </w:instrText>
      </w:r>
      <w:r w:rsidRPr="00776BCA">
        <w:rPr>
          <w:vertAlign w:val="superscript"/>
          <w:lang w:val="ru-RU"/>
        </w:rPr>
      </w:r>
      <w:r w:rsidRPr="00776BCA">
        <w:rPr>
          <w:vertAlign w:val="superscript"/>
          <w:lang w:val="ru-RU"/>
        </w:rPr>
        <w:fldChar w:fldCharType="separate"/>
      </w:r>
      <w:r w:rsidR="000910FC">
        <w:rPr>
          <w:vertAlign w:val="superscript"/>
          <w:lang w:val="ru-RU"/>
        </w:rPr>
        <w:t>1</w:t>
      </w:r>
      <w:r w:rsidRPr="00776BCA">
        <w:rPr>
          <w:vertAlign w:val="superscript"/>
          <w:lang w:val="ru-RU"/>
        </w:rPr>
        <w:fldChar w:fldCharType="end"/>
      </w:r>
      <w:r w:rsidRPr="00776BCA">
        <w:rPr>
          <w:lang w:val="ru-RU"/>
        </w:rPr>
        <w:t xml:space="preserve"> к оккупированной палестинской территории, включая Восточный Иерусалим, и к оккупированным сирийским </w:t>
      </w:r>
      <w:proofErr w:type="spellStart"/>
      <w:r w:rsidRPr="00776BCA">
        <w:rPr>
          <w:lang w:val="ru-RU"/>
        </w:rPr>
        <w:t>Голанам</w:t>
      </w:r>
      <w:proofErr w:type="spellEnd"/>
      <w:r w:rsidRPr="00776BCA">
        <w:rPr>
          <w:lang w:val="ru-RU"/>
        </w:rPr>
        <w:t xml:space="preserve"> и неукоснительно выполнять положения этой конвенции, в частности статью 49, и выполнить все свои обязательства по международному праву и незамедлительно прекратить все действия, ведущие к изменению характера</w:t>
      </w:r>
      <w:proofErr w:type="gramEnd"/>
      <w:r w:rsidRPr="00776BCA">
        <w:rPr>
          <w:lang w:val="ru-RU"/>
        </w:rPr>
        <w:t xml:space="preserve">, статуса и демографического состава оккупированной палестинской территории, включая Восточный Иерусалим, и </w:t>
      </w:r>
      <w:proofErr w:type="gramStart"/>
      <w:r w:rsidRPr="00776BCA">
        <w:rPr>
          <w:lang w:val="ru-RU"/>
        </w:rPr>
        <w:t>оккупированных</w:t>
      </w:r>
      <w:proofErr w:type="gramEnd"/>
      <w:r w:rsidRPr="00776BCA">
        <w:rPr>
          <w:lang w:val="ru-RU"/>
        </w:rPr>
        <w:t xml:space="preserve"> сирийских </w:t>
      </w:r>
      <w:proofErr w:type="spellStart"/>
      <w:r w:rsidRPr="00776BCA">
        <w:rPr>
          <w:lang w:val="ru-RU"/>
        </w:rPr>
        <w:t>Голан</w:t>
      </w:r>
      <w:proofErr w:type="spellEnd"/>
      <w:r w:rsidRPr="00776BCA">
        <w:rPr>
          <w:lang w:val="ru-RU"/>
        </w:rPr>
        <w:t>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lang w:val="ru-RU"/>
        </w:rPr>
        <w:t>3.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повторяет </w:t>
      </w:r>
      <w:r w:rsidRPr="00776BCA">
        <w:rPr>
          <w:i/>
          <w:iCs/>
          <w:lang w:val="ru-RU"/>
        </w:rPr>
        <w:t>свое требование</w:t>
      </w:r>
      <w:r w:rsidRPr="00776BCA">
        <w:rPr>
          <w:i/>
          <w:lang w:val="ru-RU"/>
        </w:rPr>
        <w:t xml:space="preserve"> </w:t>
      </w:r>
      <w:r w:rsidRPr="00776BCA">
        <w:rPr>
          <w:lang w:val="ru-RU"/>
        </w:rPr>
        <w:t xml:space="preserve">о немедленном и полном прекращении всей поселенческой деятельности Израиля на всей оккупированной палестинской территории, включая Восточный Иерусалим, и на оккупированных сирийских </w:t>
      </w:r>
      <w:proofErr w:type="spellStart"/>
      <w:r w:rsidRPr="00776BCA">
        <w:rPr>
          <w:lang w:val="ru-RU"/>
        </w:rPr>
        <w:t>Голанах</w:t>
      </w:r>
      <w:proofErr w:type="spellEnd"/>
      <w:r w:rsidRPr="00776BCA">
        <w:rPr>
          <w:lang w:val="ru-RU"/>
        </w:rPr>
        <w:t xml:space="preserve"> и призывает в этой связи к полному осуществлению всех соответствующих резолюций Совета Безопасности, включая, в частности, резолюции </w:t>
      </w:r>
      <w:r w:rsidR="00EF4497">
        <w:fldChar w:fldCharType="begin"/>
      </w:r>
      <w:r w:rsidR="00EF4497">
        <w:instrText xml:space="preserve"> HYPERLINK "http://undocs.org/ru/S/RES/446 (1979)" </w:instrText>
      </w:r>
      <w:r w:rsidR="00EF4497">
        <w:fldChar w:fldCharType="separate"/>
      </w:r>
      <w:r w:rsidRPr="00776BCA">
        <w:rPr>
          <w:rStyle w:val="Hyperlink"/>
          <w:lang w:val="ru-RU"/>
        </w:rPr>
        <w:t>446 (1979)</w:t>
      </w:r>
      <w:r w:rsidR="00EF4497">
        <w:rPr>
          <w:rStyle w:val="Hyperlink"/>
          <w:lang w:val="ru-RU"/>
        </w:rPr>
        <w:fldChar w:fldCharType="end"/>
      </w:r>
      <w:r w:rsidRPr="00776BCA">
        <w:rPr>
          <w:lang w:val="ru-RU"/>
        </w:rPr>
        <w:t xml:space="preserve">, </w:t>
      </w:r>
      <w:r w:rsidR="00EF4497">
        <w:fldChar w:fldCharType="begin"/>
      </w:r>
      <w:r w:rsidR="00EF4497">
        <w:instrText xml:space="preserve"> HYPERLINK "http://undocs.org/ru/S/RES/452(1979)" </w:instrText>
      </w:r>
      <w:r w:rsidR="00EF4497">
        <w:fldChar w:fldCharType="separate"/>
      </w:r>
      <w:r w:rsidRPr="00776BCA">
        <w:rPr>
          <w:rStyle w:val="Hyperlink"/>
          <w:lang w:val="ru-RU"/>
        </w:rPr>
        <w:t>452 (1979)</w:t>
      </w:r>
      <w:r w:rsidR="00EF4497">
        <w:rPr>
          <w:rStyle w:val="Hyperlink"/>
          <w:lang w:val="ru-RU"/>
        </w:rPr>
        <w:fldChar w:fldCharType="end"/>
      </w:r>
      <w:r w:rsidRPr="00776BCA">
        <w:rPr>
          <w:lang w:val="ru-RU"/>
        </w:rPr>
        <w:t xml:space="preserve"> от 20</w:t>
      </w:r>
      <w:r>
        <w:rPr>
          <w:lang w:val="ru-RU"/>
        </w:rPr>
        <w:t> июля</w:t>
      </w:r>
      <w:r w:rsidRPr="00776BCA">
        <w:rPr>
          <w:lang w:val="ru-RU"/>
        </w:rPr>
        <w:t xml:space="preserve"> 1979</w:t>
      </w:r>
      <w:r>
        <w:rPr>
          <w:lang w:val="ru-RU"/>
        </w:rPr>
        <w:t> года</w:t>
      </w:r>
      <w:r w:rsidRPr="00776BCA">
        <w:rPr>
          <w:lang w:val="ru-RU"/>
        </w:rPr>
        <w:t xml:space="preserve">, </w:t>
      </w:r>
      <w:r w:rsidR="00EF4497">
        <w:fldChar w:fldCharType="begin"/>
      </w:r>
      <w:r w:rsidR="00EF4497">
        <w:instrText xml:space="preserve"> HYPERLINK "http://undocs.org/ru/S/RES/465(1980)" </w:instrText>
      </w:r>
      <w:r w:rsidR="00EF4497">
        <w:fldChar w:fldCharType="separate"/>
      </w:r>
      <w:r w:rsidRPr="00776BCA">
        <w:rPr>
          <w:rStyle w:val="Hyperlink"/>
          <w:lang w:val="ru-RU"/>
        </w:rPr>
        <w:t>465 (1980)</w:t>
      </w:r>
      <w:r w:rsidR="00EF4497">
        <w:rPr>
          <w:rStyle w:val="Hyperlink"/>
          <w:lang w:val="ru-RU"/>
        </w:rPr>
        <w:fldChar w:fldCharType="end"/>
      </w:r>
      <w:r w:rsidRPr="00776BCA">
        <w:rPr>
          <w:lang w:val="ru-RU"/>
        </w:rPr>
        <w:t xml:space="preserve">, </w:t>
      </w:r>
      <w:r w:rsidR="00EF4497">
        <w:fldChar w:fldCharType="begin"/>
      </w:r>
      <w:r w:rsidR="00EF4497">
        <w:instrText xml:space="preserve"> HYPERLINK "http://undocs.org/ru/S/RES/476(1980)" </w:instrText>
      </w:r>
      <w:r w:rsidR="00EF4497">
        <w:fldChar w:fldCharType="separate"/>
      </w:r>
      <w:r w:rsidRPr="00776BCA">
        <w:rPr>
          <w:rStyle w:val="Hyperlink"/>
          <w:lang w:val="ru-RU"/>
        </w:rPr>
        <w:t>476 (1980)</w:t>
      </w:r>
      <w:r w:rsidR="00EF4497">
        <w:rPr>
          <w:rStyle w:val="Hyperlink"/>
          <w:lang w:val="ru-RU"/>
        </w:rPr>
        <w:fldChar w:fldCharType="end"/>
      </w:r>
      <w:r w:rsidRPr="00776BCA">
        <w:rPr>
          <w:lang w:val="ru-RU"/>
        </w:rPr>
        <w:t xml:space="preserve"> и </w:t>
      </w:r>
      <w:hyperlink r:id="rId26" w:history="1">
        <w:r w:rsidRPr="00EF4497">
          <w:rPr>
            <w:rStyle w:val="Hyperlink"/>
            <w:lang w:val="ru-RU"/>
          </w:rPr>
          <w:t>1515 (2003)</w:t>
        </w:r>
      </w:hyperlink>
      <w:r w:rsidRPr="00776BCA">
        <w:rPr>
          <w:lang w:val="ru-RU"/>
        </w:rPr>
        <w:t xml:space="preserve"> от</w:t>
      </w:r>
      <w:proofErr w:type="gramEnd"/>
      <w:r w:rsidRPr="00776BCA">
        <w:rPr>
          <w:lang w:val="ru-RU"/>
        </w:rPr>
        <w:t xml:space="preserve"> 19</w:t>
      </w:r>
      <w:r>
        <w:rPr>
          <w:lang w:val="ru-RU"/>
        </w:rPr>
        <w:t> ноября</w:t>
      </w:r>
      <w:r w:rsidRPr="00776BCA">
        <w:rPr>
          <w:lang w:val="ru-RU"/>
        </w:rPr>
        <w:t xml:space="preserve"> 2003</w:t>
      </w:r>
      <w:r>
        <w:rPr>
          <w:lang w:val="ru-RU"/>
        </w:rPr>
        <w:t> года</w:t>
      </w:r>
      <w:r w:rsidRPr="00776BCA">
        <w:rPr>
          <w:lang w:val="ru-RU"/>
        </w:rPr>
        <w:t>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4.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призывает</w:t>
      </w:r>
      <w:r w:rsidRPr="00776BCA">
        <w:rPr>
          <w:lang w:val="ru-RU"/>
        </w:rPr>
        <w:t xml:space="preserve">, в случае продолжения невыполнения обязательств, рассмотреть возможность принятия в соответствии с международным правом мер по установлению ответственности и подчеркивает, что соблюдение и уважение международного </w:t>
      </w:r>
      <w:proofErr w:type="gramStart"/>
      <w:r w:rsidRPr="00776BCA">
        <w:rPr>
          <w:lang w:val="ru-RU"/>
        </w:rPr>
        <w:t>гуманитарного</w:t>
      </w:r>
      <w:proofErr w:type="gramEnd"/>
      <w:r w:rsidRPr="00776BCA">
        <w:rPr>
          <w:lang w:val="ru-RU"/>
        </w:rPr>
        <w:t xml:space="preserve"> права и международных норм в области прав человека является основой мира и безопасности в регионе;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5.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подчеркивает</w:t>
      </w:r>
      <w:r w:rsidRPr="00776BCA">
        <w:rPr>
          <w:lang w:val="ru-RU"/>
        </w:rPr>
        <w:t>, что полное прекращение всей поселенческой деятельности Израиля является необходимым условием для сохранения принципа сосуществования двух госуда</w:t>
      </w:r>
      <w:proofErr w:type="gramStart"/>
      <w:r w:rsidRPr="00776BCA">
        <w:rPr>
          <w:lang w:val="ru-RU"/>
        </w:rPr>
        <w:t>рств в пр</w:t>
      </w:r>
      <w:proofErr w:type="gramEnd"/>
      <w:r w:rsidRPr="00776BCA">
        <w:rPr>
          <w:lang w:val="ru-RU"/>
        </w:rPr>
        <w:t>еделах границ, существовавших до 1967</w:t>
      </w:r>
      <w:r>
        <w:rPr>
          <w:lang w:val="ru-RU"/>
        </w:rPr>
        <w:t> года</w:t>
      </w:r>
      <w:r w:rsidRPr="00776BCA">
        <w:rPr>
          <w:lang w:val="ru-RU"/>
        </w:rPr>
        <w:t>, и призывает принять незамедлительные шаги для того, чтобы обратить вспять негативные тенденции на местах, которые ставят под угрозу жизнеспособность решения, предусматривающего сосуществование двух государств;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6.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требует</w:t>
      </w:r>
      <w:r w:rsidRPr="00776BCA">
        <w:rPr>
          <w:lang w:val="ru-RU"/>
        </w:rPr>
        <w:t>, чтобы Израиль, оккупирующая держава, выполнил свои юридические обязательства, как это предусматривается в вынесенном 9</w:t>
      </w:r>
      <w:r>
        <w:rPr>
          <w:lang w:val="ru-RU"/>
        </w:rPr>
        <w:t> июля</w:t>
      </w:r>
      <w:r w:rsidRPr="00776BCA">
        <w:rPr>
          <w:lang w:val="ru-RU"/>
        </w:rPr>
        <w:t xml:space="preserve"> 2004</w:t>
      </w:r>
      <w:r>
        <w:rPr>
          <w:lang w:val="ru-RU"/>
        </w:rPr>
        <w:t> года</w:t>
      </w:r>
      <w:r w:rsidRPr="00776BCA">
        <w:rPr>
          <w:lang w:val="ru-RU"/>
        </w:rPr>
        <w:t xml:space="preserve"> Международным Судом консультативном заключении</w:t>
      </w:r>
      <w:r w:rsidRPr="00776BCA">
        <w:rPr>
          <w:vertAlign w:val="superscript"/>
          <w:lang w:val="ru-RU"/>
        </w:rPr>
        <w:fldChar w:fldCharType="begin"/>
      </w:r>
      <w:r w:rsidRPr="00776BCA">
        <w:rPr>
          <w:vertAlign w:val="superscript"/>
          <w:lang w:val="ru-RU"/>
        </w:rPr>
        <w:instrText xml:space="preserve"> NOTEREF _Ref404087335 \h </w:instrText>
      </w:r>
      <w:r>
        <w:rPr>
          <w:vertAlign w:val="superscript"/>
          <w:lang w:val="ru-RU"/>
        </w:rPr>
        <w:instrText xml:space="preserve"> \* MERGEFORMAT </w:instrText>
      </w:r>
      <w:r w:rsidRPr="00776BCA">
        <w:rPr>
          <w:vertAlign w:val="superscript"/>
          <w:lang w:val="ru-RU"/>
        </w:rPr>
      </w:r>
      <w:r w:rsidRPr="00776BCA">
        <w:rPr>
          <w:vertAlign w:val="superscript"/>
          <w:lang w:val="ru-RU"/>
        </w:rPr>
        <w:fldChar w:fldCharType="separate"/>
      </w:r>
      <w:r w:rsidR="000910FC">
        <w:rPr>
          <w:vertAlign w:val="superscript"/>
          <w:lang w:val="ru-RU"/>
        </w:rPr>
        <w:t>4</w:t>
      </w:r>
      <w:r w:rsidRPr="00776BCA">
        <w:rPr>
          <w:vertAlign w:val="superscript"/>
          <w:lang w:val="ru-RU"/>
        </w:rPr>
        <w:fldChar w:fldCharType="end"/>
      </w:r>
      <w:r w:rsidRPr="00776BCA">
        <w:rPr>
          <w:lang w:val="ru-RU"/>
        </w:rPr>
        <w:t>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7.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повторяет </w:t>
      </w:r>
      <w:r w:rsidRPr="00776BCA">
        <w:rPr>
          <w:i/>
          <w:iCs/>
          <w:lang w:val="ru-RU"/>
        </w:rPr>
        <w:t>свой призыв</w:t>
      </w:r>
      <w:r w:rsidRPr="00776BCA">
        <w:rPr>
          <w:i/>
          <w:lang w:val="ru-RU"/>
        </w:rPr>
        <w:t xml:space="preserve"> </w:t>
      </w:r>
      <w:r w:rsidRPr="00776BCA">
        <w:rPr>
          <w:lang w:val="ru-RU"/>
        </w:rPr>
        <w:t>к предотвращению всех актов насилия, уничтожения, преследования и провокации со стороны израильских поселенцев, прежде всего в отношении палестинских гражданских лиц и их имущества, в том числе исторических и религиозных объектов и в том числе в оккупированном Восточном Иерусалиме, и сельскохозяйственных угодий;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lang w:val="ru-RU"/>
        </w:rPr>
        <w:t>8.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призывает</w:t>
      </w:r>
      <w:r w:rsidRPr="00776BCA">
        <w:rPr>
          <w:lang w:val="ru-RU"/>
        </w:rPr>
        <w:t xml:space="preserve"> к ответственности за незаконные действия, совершаемые израильскими поселенцами на оккупированной палестинской территории, и в этой связи подчеркивает необходимость осуществления резолюции </w:t>
      </w:r>
      <w:r w:rsidR="00EF4497">
        <w:fldChar w:fldCharType="begin"/>
      </w:r>
      <w:r w:rsidR="00EF4497">
        <w:instrText xml:space="preserve"> HYPERLINK "http://undocs.org/ru/S/RES/904 (1994)" </w:instrText>
      </w:r>
      <w:r w:rsidR="00EF4497">
        <w:fldChar w:fldCharType="separate"/>
      </w:r>
      <w:r w:rsidRPr="00776BCA">
        <w:rPr>
          <w:rStyle w:val="Hyperlink"/>
          <w:lang w:val="ru-RU"/>
        </w:rPr>
        <w:t>904 (1994)</w:t>
      </w:r>
      <w:r w:rsidR="00EF4497">
        <w:rPr>
          <w:rStyle w:val="Hyperlink"/>
          <w:lang w:val="ru-RU"/>
        </w:rPr>
        <w:fldChar w:fldCharType="end"/>
      </w:r>
      <w:r w:rsidRPr="00776BCA">
        <w:rPr>
          <w:lang w:val="ru-RU"/>
        </w:rPr>
        <w:t xml:space="preserve"> Совета Безопасности, в которой Совет призвал Израиль, оккупирующую державу, продолжать принимать и осуществлять меры, включая конфискацию оружия, в целях предотвращения незаконных актов насилия со стороны израильских поселенцев и призвал принять меры к тому, чтобы гарантировать безопасность</w:t>
      </w:r>
      <w:proofErr w:type="gramEnd"/>
      <w:r w:rsidRPr="00776BCA">
        <w:rPr>
          <w:lang w:val="ru-RU"/>
        </w:rPr>
        <w:t xml:space="preserve"> и защиту палестинского гражданского населения на оккупированной территории;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9.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подчеркивает</w:t>
      </w:r>
      <w:r w:rsidRPr="00776BCA">
        <w:rPr>
          <w:lang w:val="ru-RU"/>
        </w:rPr>
        <w:t>, что Израиль, оккупирующая держава, обязан проводить расследование всех случаев насилия со стороны поселенцев в отношении палестинских гражданских лиц и их имущества и обеспечивать привлечение к ответственности за подобные деяния;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10.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призывает</w:t>
      </w:r>
      <w:r w:rsidRPr="00776BCA">
        <w:rPr>
          <w:lang w:val="ru-RU"/>
        </w:rPr>
        <w:t xml:space="preserve"> все государства и международные организации продолжать активно проводить политику, которая обеспечивает уважение к их обязательствам по международному праву в отношении всех незаконных действий Израиля и принимаемых им мер на оккупированной палестинской территории, включая Восточный Иерусалим, особенно поселенческой деятельности Израиля;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</w:r>
      <w:proofErr w:type="gramStart"/>
      <w:r w:rsidRPr="00776BCA">
        <w:rPr>
          <w:lang w:val="ru-RU"/>
        </w:rPr>
        <w:t>11.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ссылается</w:t>
      </w:r>
      <w:r w:rsidRPr="00776BCA">
        <w:rPr>
          <w:lang w:val="ru-RU"/>
        </w:rPr>
        <w:t xml:space="preserve"> в этой связи на заявление от 15</w:t>
      </w:r>
      <w:r>
        <w:rPr>
          <w:lang w:val="ru-RU"/>
        </w:rPr>
        <w:t> июля</w:t>
      </w:r>
      <w:r w:rsidRPr="00776BCA">
        <w:rPr>
          <w:lang w:val="ru-RU"/>
        </w:rPr>
        <w:t xml:space="preserve"> 1999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декларации от 5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2001</w:t>
      </w:r>
      <w:r>
        <w:rPr>
          <w:lang w:val="ru-RU"/>
        </w:rPr>
        <w:t> года</w:t>
      </w:r>
      <w:r w:rsidRPr="00776BCA">
        <w:rPr>
          <w:lang w:val="ru-RU"/>
        </w:rPr>
        <w:t xml:space="preserve"> и от 17</w:t>
      </w:r>
      <w:r>
        <w:rPr>
          <w:lang w:val="ru-RU"/>
        </w:rPr>
        <w:t> декабря</w:t>
      </w:r>
      <w:r w:rsidRPr="00776BCA">
        <w:rPr>
          <w:lang w:val="ru-RU"/>
        </w:rPr>
        <w:t xml:space="preserve"> 2014</w:t>
      </w:r>
      <w:r>
        <w:rPr>
          <w:lang w:val="ru-RU"/>
        </w:rPr>
        <w:t> года</w:t>
      </w:r>
      <w:r w:rsidRPr="00776BCA">
        <w:rPr>
          <w:vertAlign w:val="superscript"/>
          <w:lang w:val="ru-RU"/>
        </w:rPr>
        <w:fldChar w:fldCharType="begin"/>
      </w:r>
      <w:r w:rsidRPr="00776BCA">
        <w:rPr>
          <w:vertAlign w:val="superscript"/>
          <w:lang w:val="ru-RU"/>
        </w:rPr>
        <w:instrText xml:space="preserve"> NOTEREF _Ref435608856 \h </w:instrText>
      </w:r>
      <w:r>
        <w:rPr>
          <w:vertAlign w:val="superscript"/>
          <w:lang w:val="ru-RU"/>
        </w:rPr>
        <w:instrText xml:space="preserve"> \* MERGEFORMAT </w:instrText>
      </w:r>
      <w:r w:rsidRPr="00776BCA">
        <w:rPr>
          <w:vertAlign w:val="superscript"/>
          <w:lang w:val="ru-RU"/>
        </w:rPr>
      </w:r>
      <w:r w:rsidRPr="00776BCA">
        <w:rPr>
          <w:vertAlign w:val="superscript"/>
          <w:lang w:val="ru-RU"/>
        </w:rPr>
        <w:fldChar w:fldCharType="separate"/>
      </w:r>
      <w:r w:rsidR="000910FC">
        <w:rPr>
          <w:vertAlign w:val="superscript"/>
          <w:lang w:val="ru-RU"/>
        </w:rPr>
        <w:t>8</w:t>
      </w:r>
      <w:r w:rsidRPr="00776BCA">
        <w:rPr>
          <w:vertAlign w:val="superscript"/>
          <w:lang w:val="ru-RU"/>
        </w:rPr>
        <w:fldChar w:fldCharType="end"/>
      </w:r>
      <w:r w:rsidRPr="00776BCA">
        <w:rPr>
          <w:lang w:val="ru-RU"/>
        </w:rPr>
        <w:t>, принятые Конференцией Высоких Договаривающихся Сторон четвертой Женевской конвенции по вопросу о мерах обеспечения выполнения Конвенции на оккупированной палестинской территории, включая Восточный Иерусалим, и приветствует в этой связи инициативы, предпринимаемые как индивидуально, так и коллективно</w:t>
      </w:r>
      <w:proofErr w:type="gramEnd"/>
      <w:r w:rsidRPr="00776BCA">
        <w:rPr>
          <w:lang w:val="ru-RU"/>
        </w:rPr>
        <w:t xml:space="preserve"> государствами-участниками в соответствии со статьей 1 Конвенции с целью добиться соблюдения Конвенции;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12.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>призывает</w:t>
      </w:r>
      <w:r w:rsidRPr="00776BCA">
        <w:rPr>
          <w:lang w:val="ru-RU"/>
        </w:rPr>
        <w:t xml:space="preserve"> соответствующие органы Организации Объединенных Наций осуществить все необходимые меры и действия в рамках своих мандатов для обеспечения полного уважения и соблюдения резолюции </w:t>
      </w:r>
      <w:hyperlink r:id="rId27" w:history="1">
        <w:r w:rsidRPr="00EF4497">
          <w:rPr>
            <w:rStyle w:val="Hyperlink"/>
            <w:lang w:val="ru-RU"/>
          </w:rPr>
          <w:t>17/4</w:t>
        </w:r>
      </w:hyperlink>
      <w:r w:rsidRPr="00776BCA">
        <w:rPr>
          <w:lang w:val="ru-RU"/>
        </w:rPr>
        <w:t xml:space="preserve"> </w:t>
      </w:r>
      <w:proofErr w:type="spellStart"/>
      <w:proofErr w:type="gramStart"/>
      <w:r w:rsidRPr="00776BCA">
        <w:rPr>
          <w:lang w:val="ru-RU"/>
        </w:rPr>
        <w:t>C</w:t>
      </w:r>
      <w:proofErr w:type="gramEnd"/>
      <w:r w:rsidRPr="00776BCA">
        <w:rPr>
          <w:lang w:val="ru-RU"/>
        </w:rPr>
        <w:t>овета</w:t>
      </w:r>
      <w:proofErr w:type="spellEnd"/>
      <w:r w:rsidRPr="00776BCA">
        <w:rPr>
          <w:lang w:val="ru-RU"/>
        </w:rPr>
        <w:t xml:space="preserve"> по правам человека от 16</w:t>
      </w:r>
      <w:r>
        <w:rPr>
          <w:lang w:val="ru-RU"/>
        </w:rPr>
        <w:t> июня</w:t>
      </w:r>
      <w:r w:rsidRPr="00776BCA">
        <w:rPr>
          <w:lang w:val="ru-RU"/>
        </w:rPr>
        <w:t xml:space="preserve"> 2011</w:t>
      </w:r>
      <w:r>
        <w:rPr>
          <w:lang w:val="ru-RU"/>
        </w:rPr>
        <w:t> года</w:t>
      </w:r>
      <w:r w:rsidRPr="00776BCA">
        <w:rPr>
          <w:vertAlign w:val="superscript"/>
          <w:lang w:val="ru-RU"/>
        </w:rPr>
        <w:footnoteReference w:id="13"/>
      </w:r>
      <w:r w:rsidRPr="00776BCA">
        <w:rPr>
          <w:lang w:val="ru-RU"/>
        </w:rPr>
        <w:t>, касающейся Руководящих принципов предпринимательской деятельности в аспекте прав человека</w:t>
      </w:r>
      <w:r w:rsidRPr="00776BCA">
        <w:rPr>
          <w:vertAlign w:val="superscript"/>
          <w:lang w:val="ru-RU"/>
        </w:rPr>
        <w:footnoteReference w:id="14"/>
      </w:r>
      <w:r w:rsidRPr="00776BCA">
        <w:rPr>
          <w:lang w:val="ru-RU"/>
        </w:rPr>
        <w:t>, и других соответствующих международных норм и стандартов, а также для обеспечения осуществления рамок Организации Объединенных Наций в отношении «защиты, соблюдения и сре</w:t>
      </w:r>
      <w:proofErr w:type="gramStart"/>
      <w:r w:rsidRPr="00776BCA">
        <w:rPr>
          <w:lang w:val="ru-RU"/>
        </w:rPr>
        <w:t>дств пр</w:t>
      </w:r>
      <w:proofErr w:type="gramEnd"/>
      <w:r w:rsidRPr="00776BCA">
        <w:rPr>
          <w:lang w:val="ru-RU"/>
        </w:rPr>
        <w:t>авовой защиты», в которых определен глобальный стандарт в области поддержки прав человека в связи с осуществлением коммерческой деятельности, связанной с израильскими поселениями на оккупированной палестинской территории, включая Восточный Иерусалим;</w:t>
      </w:r>
    </w:p>
    <w:p w:rsidR="00776BCA" w:rsidRPr="00776BCA" w:rsidRDefault="00776BCA" w:rsidP="00776BCA">
      <w:pPr>
        <w:pStyle w:val="SingleTxt"/>
        <w:rPr>
          <w:lang w:val="ru-RU"/>
        </w:rPr>
      </w:pPr>
      <w:r w:rsidRPr="00776BCA">
        <w:rPr>
          <w:lang w:val="ru-RU"/>
        </w:rPr>
        <w:tab/>
        <w:t>13.</w:t>
      </w:r>
      <w:r w:rsidRPr="00776BCA">
        <w:rPr>
          <w:lang w:val="ru-RU"/>
        </w:rPr>
        <w:tab/>
      </w:r>
      <w:r w:rsidRPr="00776BCA">
        <w:rPr>
          <w:i/>
          <w:lang w:val="ru-RU"/>
        </w:rPr>
        <w:t xml:space="preserve">просит </w:t>
      </w:r>
      <w:r w:rsidRPr="00776BCA">
        <w:rPr>
          <w:lang w:val="ru-RU"/>
        </w:rPr>
        <w:t>Генерального секретаря представить Генеральной Ассамблее на ее семьдесят второй сессии доклад об осуществлении настоящей резолюции.</w:t>
      </w:r>
    </w:p>
    <w:p w:rsidR="00EB09CF" w:rsidRPr="00776BCA" w:rsidRDefault="00EB09CF" w:rsidP="00EB09CF">
      <w:pPr>
        <w:widowControl w:val="0"/>
        <w:spacing w:line="120" w:lineRule="exact"/>
        <w:jc w:val="both"/>
        <w:rPr>
          <w:sz w:val="8"/>
          <w:lang w:val="ru-RU"/>
        </w:rPr>
      </w:pPr>
    </w:p>
    <w:p w:rsidR="00591808" w:rsidRPr="00776BCA" w:rsidRDefault="008D09C8" w:rsidP="00591808">
      <w:pPr>
        <w:pStyle w:val="SingleTxt"/>
        <w:spacing w:line="240" w:lineRule="auto"/>
        <w:jc w:val="right"/>
        <w:rPr>
          <w:i/>
          <w:iCs/>
          <w:lang w:val="ru-RU"/>
        </w:rPr>
      </w:pPr>
      <w:r w:rsidRPr="00776BCA">
        <w:rPr>
          <w:i/>
          <w:iCs/>
          <w:lang w:val="ru-RU"/>
        </w:rPr>
        <w:t>5</w:t>
      </w:r>
      <w:r w:rsidR="00E312A5" w:rsidRPr="00776BCA">
        <w:rPr>
          <w:i/>
          <w:iCs/>
          <w:lang w:val="ru-RU"/>
        </w:rPr>
        <w:t>3</w:t>
      </w:r>
      <w:r w:rsidR="000C50A9" w:rsidRPr="00776BCA">
        <w:rPr>
          <w:i/>
          <w:iCs/>
          <w:lang w:val="ru-RU"/>
        </w:rPr>
        <w:t>-e</w:t>
      </w:r>
      <w:r w:rsidR="00EB09CF" w:rsidRPr="00776BCA">
        <w:rPr>
          <w:i/>
          <w:iCs/>
          <w:lang w:val="ru-RU"/>
        </w:rPr>
        <w:t xml:space="preserve"> пленарное заседание,</w:t>
      </w:r>
      <w:r w:rsidR="00EB09CF" w:rsidRPr="00776BCA">
        <w:rPr>
          <w:i/>
          <w:iCs/>
          <w:lang w:val="ru-RU"/>
        </w:rPr>
        <w:br/>
      </w:r>
      <w:bookmarkStart w:id="4" w:name="_GoBack"/>
      <w:bookmarkEnd w:id="4"/>
      <w:r w:rsidR="00E312A5" w:rsidRPr="00776BCA">
        <w:rPr>
          <w:i/>
          <w:iCs/>
          <w:lang w:val="ru-RU"/>
        </w:rPr>
        <w:t>6</w:t>
      </w:r>
      <w:r w:rsidR="00776BCA">
        <w:rPr>
          <w:i/>
          <w:iCs/>
          <w:lang w:val="ru-RU"/>
        </w:rPr>
        <w:t> декабря</w:t>
      </w:r>
      <w:r w:rsidRPr="00776BCA">
        <w:rPr>
          <w:i/>
          <w:iCs/>
          <w:lang w:val="ru-RU"/>
        </w:rPr>
        <w:t xml:space="preserve"> </w:t>
      </w:r>
      <w:r w:rsidR="00EB09CF" w:rsidRPr="00776BCA">
        <w:rPr>
          <w:i/>
          <w:iCs/>
          <w:lang w:val="ru-RU"/>
        </w:rPr>
        <w:t>20</w:t>
      </w:r>
      <w:r w:rsidR="002121FE" w:rsidRPr="00776BCA">
        <w:rPr>
          <w:i/>
          <w:iCs/>
          <w:lang w:val="ru-RU"/>
        </w:rPr>
        <w:t>1</w:t>
      </w:r>
      <w:r w:rsidR="0029318F" w:rsidRPr="00776BCA">
        <w:rPr>
          <w:i/>
          <w:iCs/>
          <w:lang w:val="ru-RU"/>
        </w:rPr>
        <w:t>6</w:t>
      </w:r>
      <w:r w:rsidR="00776BCA">
        <w:rPr>
          <w:i/>
          <w:iCs/>
          <w:lang w:val="ru-RU"/>
        </w:rPr>
        <w:t> года</w:t>
      </w:r>
    </w:p>
    <w:p w:rsidR="00591808" w:rsidRPr="00776BCA" w:rsidRDefault="00BD7C92" w:rsidP="00591808">
      <w:pPr>
        <w:pStyle w:val="SingleTxt"/>
        <w:spacing w:after="0" w:line="240" w:lineRule="auto"/>
        <w:rPr>
          <w:iCs/>
          <w:lang w:val="ru-RU"/>
        </w:rPr>
      </w:pPr>
      <w:r w:rsidRPr="00776BCA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9479A" wp14:editId="2D1CD09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12065" t="9525" r="698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X8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" strokeweight=".25pt"/>
            </w:pict>
          </mc:Fallback>
        </mc:AlternateContent>
      </w:r>
    </w:p>
    <w:sectPr w:rsidR="00591808" w:rsidRPr="00776BCA" w:rsidSect="00EB09CF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2240" w:h="15840" w:code="1"/>
      <w:pgMar w:top="1584" w:right="1195" w:bottom="1440" w:left="1195" w:header="576" w:footer="100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12-27T15:33:00Z" w:initials="Start">
    <w:p w:rsidR="00690CC5" w:rsidRDefault="00690CC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NO&gt;&gt;N1642835R&lt;&lt;ODS JOB NO&gt;&gt;</w:t>
      </w:r>
    </w:p>
    <w:p w:rsidR="00690CC5" w:rsidRDefault="00690CC5">
      <w:pPr>
        <w:pStyle w:val="CommentText"/>
      </w:pPr>
      <w:r>
        <w:t>&lt;&lt;ODS DOC SYMBOL1&gt;&gt;A/RES/71/97&lt;&lt;ODS DOC SYMBOL1&gt;&gt;</w:t>
      </w:r>
    </w:p>
    <w:p w:rsidR="00690CC5" w:rsidRDefault="00690CC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D8" w:rsidRDefault="00262AD8">
      <w:r>
        <w:separator/>
      </w:r>
    </w:p>
  </w:endnote>
  <w:endnote w:type="continuationSeparator" w:id="0">
    <w:p w:rsidR="00262AD8" w:rsidRDefault="002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Unicode Symbols">
    <w:altName w:val="MS Mincho"/>
    <w:charset w:val="00"/>
    <w:family w:val="roman"/>
    <w:pitch w:val="variable"/>
    <w:sig w:usb0="00000001" w:usb1="1A03FBFF" w:usb2="00000027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framePr w:w="362" w:h="365" w:hRule="exact" w:wrap="around" w:vAnchor="text" w:hAnchor="page" w:x="1162" w:y="8"/>
      <w:rPr>
        <w:rStyle w:val="PageNumber"/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PAGE  </w:instrText>
    </w:r>
    <w:r>
      <w:rPr>
        <w:rStyle w:val="PageNumber"/>
        <w:b/>
        <w:sz w:val="18"/>
      </w:rPr>
      <w:fldChar w:fldCharType="separate"/>
    </w:r>
    <w:r w:rsidR="000910FC">
      <w:rPr>
        <w:rStyle w:val="PageNumber"/>
        <w:b/>
        <w:noProof/>
        <w:sz w:val="18"/>
      </w:rPr>
      <w:t>6</w:t>
    </w:r>
    <w:r>
      <w:rPr>
        <w:rStyle w:val="PageNumber"/>
        <w:b/>
        <w:sz w:val="18"/>
      </w:rPr>
      <w:fldChar w:fldCharType="end"/>
    </w:r>
  </w:p>
  <w:p w:rsidR="005B7632" w:rsidRDefault="005B763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spacing w:before="240"/>
      <w:jc w:val="right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0910FC">
      <w:rPr>
        <w:rStyle w:val="PageNumber"/>
        <w:b/>
        <w:bCs/>
        <w:noProof/>
        <w:sz w:val="18"/>
      </w:rPr>
      <w:t>6</w:t>
    </w:r>
    <w:r>
      <w:rPr>
        <w:rStyle w:val="PageNumber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3528"/>
      <w:gridCol w:w="5337"/>
    </w:tblGrid>
    <w:tr w:rsidR="00793340" w:rsidRPr="00690CC5" w:rsidTr="00BD7C92">
      <w:tc>
        <w:tcPr>
          <w:tcW w:w="3528" w:type="dxa"/>
          <w:shd w:val="clear" w:color="auto" w:fill="auto"/>
        </w:tcPr>
        <w:p w:rsidR="00793340" w:rsidRPr="00BC74DA" w:rsidRDefault="00BD7C92" w:rsidP="00BD7C92">
          <w:pPr>
            <w:pStyle w:val="Footer"/>
          </w:pPr>
          <w:r>
            <w:t>16-21256 (R)</w:t>
          </w:r>
        </w:p>
        <w:p w:rsidR="00793340" w:rsidRPr="00BD7C92" w:rsidRDefault="00BD7C92" w:rsidP="00BD7C92">
          <w:pPr>
            <w:pStyle w:val="Footer"/>
            <w:spacing w:after="4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*1621256*</w:t>
          </w:r>
        </w:p>
      </w:tc>
      <w:tc>
        <w:tcPr>
          <w:tcW w:w="5337" w:type="dxa"/>
          <w:shd w:val="clear" w:color="auto" w:fill="auto"/>
        </w:tcPr>
        <w:p w:rsidR="00793340" w:rsidRPr="0027139B" w:rsidRDefault="00815CE6" w:rsidP="00BD7C92">
          <w:pPr>
            <w:pStyle w:val="Footer"/>
            <w:spacing w:before="80"/>
            <w:jc w:val="right"/>
            <w:rPr>
              <w:lang w:val="ru-RU"/>
            </w:rPr>
          </w:pPr>
          <w:r w:rsidRPr="00A170A9">
            <w:rPr>
              <w:rFonts w:ascii="Times New Roman Bold" w:hAnsi="Times New Roman Bold" w:cs="Times New Roman Bold"/>
              <w:b/>
              <w:bCs/>
              <w:spacing w:val="-2"/>
              <w:w w:val="104"/>
              <w:sz w:val="17"/>
              <w:szCs w:val="17"/>
              <w:lang w:val="ru-RU"/>
            </w:rPr>
            <w:t>Просьба отправить на вторичную переработку</w:t>
          </w:r>
          <w:r w:rsidRPr="0027139B">
            <w:rPr>
              <w:rFonts w:cs="Times New Roman Bold"/>
              <w:b/>
              <w:bCs/>
              <w:spacing w:val="-2"/>
              <w:w w:val="104"/>
              <w:sz w:val="17"/>
              <w:szCs w:val="17"/>
              <w:lang w:val="ru-RU"/>
            </w:rPr>
            <w:t xml:space="preserve"> </w:t>
          </w:r>
          <w:r w:rsidRPr="0027139B">
            <w:rPr>
              <w:rFonts w:ascii="Unicode Symbols" w:eastAsia="Arial Unicode MS" w:hAnsi="Unicode Symbols" w:cs="Arial Unicode MS"/>
              <w:spacing w:val="2"/>
              <w:w w:val="104"/>
              <w:sz w:val="28"/>
              <w:szCs w:val="28"/>
              <w:lang w:val="ru-RU"/>
            </w:rPr>
            <w:t xml:space="preserve"> </w:t>
          </w:r>
          <w:r w:rsidR="00BD7C92">
            <w:rPr>
              <w:bCs/>
              <w:noProof/>
              <w:spacing w:val="-2"/>
              <w:w w:val="104"/>
              <w:sz w:val="17"/>
              <w:szCs w:val="17"/>
            </w:rPr>
            <w:drawing>
              <wp:inline distT="0" distB="0" distL="0" distR="0" wp14:anchorId="24B6F758" wp14:editId="1A3BAB2F">
                <wp:extent cx="236220" cy="227330"/>
                <wp:effectExtent l="0" t="0" r="0" b="1270"/>
                <wp:docPr id="3" name="Picture 3" descr="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340" w:rsidRDefault="00BD7C92" w:rsidP="005B7632">
    <w:pPr>
      <w:pStyle w:val="Foot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2F719" wp14:editId="1E6E6FCC">
          <wp:simplePos x="0" y="0"/>
          <wp:positionH relativeFrom="column">
            <wp:posOffset>5572125</wp:posOffset>
          </wp:positionH>
          <wp:positionV relativeFrom="paragraph">
            <wp:posOffset>-382270</wp:posOffset>
          </wp:positionV>
          <wp:extent cx="709930" cy="709930"/>
          <wp:effectExtent l="0" t="0" r="0" b="0"/>
          <wp:wrapNone/>
          <wp:docPr id="2" name="Picture 1" descr="http://undocs.org/m2/QRCode.ashx?DS=A/RES/71/97&amp;Size 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RES/71/97&amp;Size =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Pr="00D0399B" w:rsidRDefault="005B7632">
    <w:pPr>
      <w:pStyle w:val="Footer"/>
      <w:spacing w:before="240"/>
      <w:rPr>
        <w:rStyle w:val="PageNumber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0910FC">
      <w:rPr>
        <w:rStyle w:val="PageNumber"/>
        <w:b/>
        <w:bCs/>
        <w:noProof/>
        <w:sz w:val="18"/>
      </w:rPr>
      <w:t>6</w:t>
    </w:r>
    <w:r>
      <w:rPr>
        <w:rStyle w:val="PageNumber"/>
        <w:b/>
        <w:bCs/>
        <w:sz w:val="18"/>
      </w:rPr>
      <w:fldChar w:fldCharType="end"/>
    </w:r>
    <w:r w:rsidR="00D0399B" w:rsidRPr="00D0399B">
      <w:rPr>
        <w:rStyle w:val="PageNumber"/>
        <w:b/>
        <w:bCs/>
        <w:sz w:val="18"/>
      </w:rPr>
      <w:t>/</w:t>
    </w:r>
    <w:r w:rsidR="003A5C7B" w:rsidRPr="003A5C7B">
      <w:rPr>
        <w:rStyle w:val="PageNumber"/>
        <w:b/>
        <w:bCs/>
        <w:sz w:val="18"/>
      </w:rPr>
      <w:fldChar w:fldCharType="begin"/>
    </w:r>
    <w:r w:rsidR="003A5C7B" w:rsidRPr="003A5C7B">
      <w:rPr>
        <w:rStyle w:val="PageNumber"/>
        <w:b/>
        <w:bCs/>
        <w:sz w:val="18"/>
      </w:rPr>
      <w:instrText xml:space="preserve"> NUMPAGES </w:instrText>
    </w:r>
    <w:r w:rsidR="003A5C7B" w:rsidRPr="003A5C7B">
      <w:rPr>
        <w:rStyle w:val="PageNumber"/>
        <w:b/>
        <w:bCs/>
        <w:sz w:val="18"/>
      </w:rPr>
      <w:fldChar w:fldCharType="separate"/>
    </w:r>
    <w:r w:rsidR="000910FC">
      <w:rPr>
        <w:rStyle w:val="PageNumber"/>
        <w:b/>
        <w:bCs/>
        <w:noProof/>
        <w:sz w:val="18"/>
      </w:rPr>
      <w:t>6</w:t>
    </w:r>
    <w:r w:rsidR="003A5C7B" w:rsidRPr="003A5C7B">
      <w:rPr>
        <w:rStyle w:val="PageNumber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spacing w:before="240"/>
      <w:jc w:val="right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0910FC">
      <w:rPr>
        <w:rStyle w:val="PageNumber"/>
        <w:b/>
        <w:bCs/>
        <w:noProof/>
        <w:sz w:val="18"/>
      </w:rPr>
      <w:t>5</w:t>
    </w:r>
    <w:r>
      <w:rPr>
        <w:rStyle w:val="PageNumber"/>
        <w:b/>
        <w:bCs/>
        <w:sz w:val="18"/>
      </w:rPr>
      <w:fldChar w:fldCharType="end"/>
    </w:r>
    <w:r w:rsidR="00D0399B">
      <w:rPr>
        <w:rStyle w:val="PageNumber"/>
        <w:b/>
        <w:bCs/>
        <w:sz w:val="18"/>
      </w:rPr>
      <w:t>/</w:t>
    </w:r>
    <w:r w:rsidR="003A5C7B" w:rsidRPr="003A5C7B">
      <w:rPr>
        <w:rStyle w:val="PageNumber"/>
        <w:b/>
        <w:bCs/>
        <w:sz w:val="18"/>
      </w:rPr>
      <w:fldChar w:fldCharType="begin"/>
    </w:r>
    <w:r w:rsidR="003A5C7B" w:rsidRPr="003A5C7B">
      <w:rPr>
        <w:rStyle w:val="PageNumber"/>
        <w:b/>
        <w:bCs/>
        <w:sz w:val="18"/>
      </w:rPr>
      <w:instrText xml:space="preserve"> NUMPAGES </w:instrText>
    </w:r>
    <w:r w:rsidR="003A5C7B" w:rsidRPr="003A5C7B">
      <w:rPr>
        <w:rStyle w:val="PageNumber"/>
        <w:b/>
        <w:bCs/>
        <w:sz w:val="18"/>
      </w:rPr>
      <w:fldChar w:fldCharType="separate"/>
    </w:r>
    <w:r w:rsidR="000910FC">
      <w:rPr>
        <w:rStyle w:val="PageNumber"/>
        <w:b/>
        <w:bCs/>
        <w:noProof/>
        <w:sz w:val="18"/>
      </w:rPr>
      <w:t>6</w:t>
    </w:r>
    <w:r w:rsidR="003A5C7B" w:rsidRPr="003A5C7B">
      <w:rPr>
        <w:rStyle w:val="PageNumber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D8" w:rsidRPr="00776BCA" w:rsidRDefault="00262AD8" w:rsidP="00776BCA">
      <w:pPr>
        <w:pStyle w:val="Footer"/>
        <w:suppressAutoHyphens/>
        <w:spacing w:beforeLines="100" w:before="240" w:afterLines="50" w:after="120"/>
        <w:ind w:left="1267" w:right="1267"/>
        <w:rPr>
          <w:b/>
          <w:kern w:val="14"/>
        </w:rPr>
      </w:pPr>
      <w:r w:rsidRPr="00776BCA">
        <w:rPr>
          <w:b/>
          <w:kern w:val="14"/>
        </w:rPr>
        <w:t>_______________</w:t>
      </w:r>
    </w:p>
  </w:footnote>
  <w:footnote w:type="continuationSeparator" w:id="0">
    <w:p w:rsidR="00262AD8" w:rsidRPr="00776BCA" w:rsidRDefault="00262AD8">
      <w:pPr>
        <w:rPr>
          <w:highlight w:val="yellow"/>
        </w:rPr>
      </w:pPr>
      <w:r w:rsidRPr="00776BCA">
        <w:rPr>
          <w:highlight w:val="yellow"/>
        </w:rPr>
        <w:continuationSeparator/>
      </w:r>
    </w:p>
  </w:footnote>
  <w:footnote w:id="1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lang w:val="en-US"/>
        </w:rPr>
      </w:pPr>
      <w:r w:rsidRPr="00776BCA">
        <w:rPr>
          <w:rStyle w:val="FootnoteReference"/>
          <w:spacing w:val="0"/>
          <w:w w:val="100"/>
          <w:kern w:val="0"/>
        </w:rPr>
        <w:footnoteRef/>
      </w:r>
      <w:r>
        <w:rPr>
          <w:spacing w:val="0"/>
          <w:w w:val="100"/>
          <w:kern w:val="0"/>
          <w:szCs w:val="17"/>
          <w:lang w:val="en-US"/>
        </w:rPr>
        <w:t> </w:t>
      </w:r>
      <w:proofErr w:type="gramStart"/>
      <w:r w:rsidRPr="00776BCA">
        <w:rPr>
          <w:spacing w:val="0"/>
          <w:w w:val="100"/>
          <w:kern w:val="0"/>
          <w:szCs w:val="17"/>
          <w:lang w:val="en-US"/>
        </w:rPr>
        <w:t xml:space="preserve">United Nations, </w:t>
      </w:r>
      <w:r w:rsidRPr="00776BCA">
        <w:rPr>
          <w:i/>
          <w:spacing w:val="0"/>
          <w:w w:val="100"/>
          <w:kern w:val="0"/>
          <w:szCs w:val="17"/>
          <w:lang w:val="en-US"/>
        </w:rPr>
        <w:t>Treaty Series</w:t>
      </w:r>
      <w:r w:rsidRPr="00776BCA">
        <w:rPr>
          <w:spacing w:val="0"/>
          <w:w w:val="100"/>
          <w:kern w:val="0"/>
          <w:szCs w:val="17"/>
          <w:lang w:val="en-US"/>
        </w:rPr>
        <w:t>, vol. 75, No. 973.</w:t>
      </w:r>
      <w:proofErr w:type="gramEnd"/>
    </w:p>
  </w:footnote>
  <w:footnote w:id="2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  <w:szCs w:val="17"/>
          <w:lang w:val="en-US"/>
        </w:rPr>
        <w:t> </w:t>
      </w:r>
      <w:proofErr w:type="gramStart"/>
      <w:r w:rsidRPr="00776BCA">
        <w:rPr>
          <w:spacing w:val="0"/>
          <w:w w:val="100"/>
          <w:kern w:val="0"/>
          <w:szCs w:val="17"/>
          <w:lang w:val="en-US"/>
        </w:rPr>
        <w:t>Ibid.,</w:t>
      </w:r>
      <w:proofErr w:type="gramEnd"/>
      <w:r w:rsidRPr="00776BCA">
        <w:rPr>
          <w:spacing w:val="0"/>
          <w:w w:val="100"/>
          <w:kern w:val="0"/>
          <w:szCs w:val="17"/>
          <w:lang w:val="en-US"/>
        </w:rPr>
        <w:t xml:space="preserve"> vol. 1125, No. 17512.</w:t>
      </w:r>
    </w:p>
  </w:footnote>
  <w:footnote w:id="3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  <w:szCs w:val="17"/>
          <w:lang w:val="en-US"/>
        </w:rPr>
        <w:t> </w:t>
      </w:r>
      <w:proofErr w:type="gramStart"/>
      <w:r w:rsidRPr="00776BCA">
        <w:rPr>
          <w:spacing w:val="0"/>
          <w:w w:val="100"/>
          <w:kern w:val="0"/>
          <w:szCs w:val="17"/>
          <w:lang w:val="en-US"/>
        </w:rPr>
        <w:t>Ibid.,</w:t>
      </w:r>
      <w:proofErr w:type="gramEnd"/>
      <w:r w:rsidRPr="00776BCA">
        <w:rPr>
          <w:spacing w:val="0"/>
          <w:w w:val="100"/>
          <w:kern w:val="0"/>
          <w:szCs w:val="17"/>
          <w:lang w:val="en-US"/>
        </w:rPr>
        <w:t xml:space="preserve"> vol. 75, Nos. 970–973.</w:t>
      </w:r>
    </w:p>
  </w:footnote>
  <w:footnote w:id="4">
    <w:p w:rsidR="00776BCA" w:rsidRPr="00690CC5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szCs w:val="17"/>
          <w:lang w:val="en-GB"/>
        </w:rPr>
        <w:t> </w:t>
      </w:r>
      <w:r w:rsidRPr="00776BCA">
        <w:rPr>
          <w:spacing w:val="0"/>
          <w:w w:val="100"/>
          <w:kern w:val="0"/>
          <w:szCs w:val="17"/>
        </w:rPr>
        <w:t>См</w:t>
      </w:r>
      <w:r w:rsidRPr="00776BCA">
        <w:rPr>
          <w:spacing w:val="0"/>
          <w:w w:val="100"/>
          <w:kern w:val="0"/>
          <w:szCs w:val="17"/>
          <w:lang w:val="en-US"/>
        </w:rPr>
        <w:t>. </w:t>
      </w:r>
      <w:hyperlink r:id="rId1" w:history="1">
        <w:r w:rsidRPr="00EF4497">
          <w:rPr>
            <w:rStyle w:val="Hyperlink"/>
            <w:spacing w:val="0"/>
            <w:w w:val="100"/>
            <w:kern w:val="0"/>
            <w:szCs w:val="17"/>
            <w:lang w:val="en-US"/>
          </w:rPr>
          <w:t>A</w:t>
        </w:r>
        <w:r w:rsidRPr="00690CC5">
          <w:rPr>
            <w:rStyle w:val="Hyperlink"/>
            <w:spacing w:val="0"/>
            <w:w w:val="100"/>
            <w:kern w:val="0"/>
            <w:szCs w:val="17"/>
          </w:rPr>
          <w:t>/</w:t>
        </w:r>
        <w:r w:rsidRPr="00EF4497">
          <w:rPr>
            <w:rStyle w:val="Hyperlink"/>
            <w:spacing w:val="0"/>
            <w:w w:val="100"/>
            <w:kern w:val="0"/>
            <w:szCs w:val="17"/>
            <w:lang w:val="en-US"/>
          </w:rPr>
          <w:t>ES</w:t>
        </w:r>
        <w:r w:rsidRPr="00690CC5">
          <w:rPr>
            <w:rStyle w:val="Hyperlink"/>
            <w:spacing w:val="0"/>
            <w:w w:val="100"/>
            <w:kern w:val="0"/>
            <w:szCs w:val="17"/>
          </w:rPr>
          <w:t>-10/273</w:t>
        </w:r>
      </w:hyperlink>
      <w:r w:rsidRPr="00690CC5">
        <w:rPr>
          <w:spacing w:val="0"/>
          <w:w w:val="100"/>
          <w:kern w:val="0"/>
          <w:szCs w:val="17"/>
        </w:rPr>
        <w:t xml:space="preserve"> </w:t>
      </w:r>
      <w:r w:rsidRPr="00776BCA">
        <w:rPr>
          <w:spacing w:val="0"/>
          <w:w w:val="100"/>
          <w:kern w:val="0"/>
          <w:szCs w:val="17"/>
        </w:rPr>
        <w:t>и</w:t>
      </w:r>
      <w:r w:rsidRPr="00690CC5">
        <w:rPr>
          <w:spacing w:val="0"/>
          <w:w w:val="100"/>
          <w:kern w:val="0"/>
          <w:szCs w:val="17"/>
        </w:rPr>
        <w:t xml:space="preserve"> </w:t>
      </w:r>
      <w:proofErr w:type="spellStart"/>
      <w:r w:rsidRPr="00776BCA">
        <w:rPr>
          <w:spacing w:val="0"/>
          <w:w w:val="100"/>
          <w:kern w:val="0"/>
          <w:szCs w:val="17"/>
          <w:lang w:val="en-US"/>
        </w:rPr>
        <w:t>Corr</w:t>
      </w:r>
      <w:proofErr w:type="spellEnd"/>
      <w:r w:rsidRPr="00690CC5">
        <w:rPr>
          <w:spacing w:val="0"/>
          <w:w w:val="100"/>
          <w:kern w:val="0"/>
          <w:szCs w:val="17"/>
        </w:rPr>
        <w:t>.1.</w:t>
      </w:r>
    </w:p>
  </w:footnote>
  <w:footnote w:id="5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  <w:szCs w:val="17"/>
        </w:rPr>
        <w:t> </w:t>
      </w:r>
      <w:r w:rsidRPr="00776BCA">
        <w:rPr>
          <w:spacing w:val="0"/>
          <w:w w:val="100"/>
          <w:kern w:val="0"/>
          <w:szCs w:val="17"/>
        </w:rPr>
        <w:t>Там же, консультативное заключение, пункт 120.</w:t>
      </w:r>
    </w:p>
  </w:footnote>
  <w:footnote w:id="6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lang w:val="en-GB"/>
        </w:rPr>
        <w:t> </w:t>
      </w:r>
      <w:hyperlink r:id="rId2" w:history="1">
        <w:proofErr w:type="gramStart"/>
        <w:r w:rsidRPr="00776BCA">
          <w:rPr>
            <w:color w:val="0528BB"/>
            <w:spacing w:val="0"/>
            <w:w w:val="100"/>
            <w:kern w:val="0"/>
            <w:szCs w:val="17"/>
            <w:lang w:val="en-US"/>
          </w:rPr>
          <w:t>A/HRC/31/73;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 </w:t>
      </w:r>
      <w:r w:rsidRPr="00776BCA">
        <w:rPr>
          <w:spacing w:val="0"/>
          <w:w w:val="100"/>
          <w:kern w:val="0"/>
          <w:szCs w:val="17"/>
        </w:rPr>
        <w:t>см</w:t>
      </w:r>
      <w:r w:rsidRPr="00776BCA">
        <w:rPr>
          <w:spacing w:val="0"/>
          <w:w w:val="100"/>
          <w:kern w:val="0"/>
          <w:szCs w:val="17"/>
          <w:lang w:val="en-US"/>
        </w:rPr>
        <w:t>.</w:t>
      </w:r>
      <w:proofErr w:type="gramEnd"/>
      <w:r w:rsidRPr="00776BCA">
        <w:rPr>
          <w:spacing w:val="0"/>
          <w:w w:val="100"/>
          <w:kern w:val="0"/>
          <w:szCs w:val="17"/>
          <w:lang w:val="en-US"/>
        </w:rPr>
        <w:t> </w:t>
      </w:r>
      <w:r w:rsidRPr="00776BCA">
        <w:rPr>
          <w:spacing w:val="0"/>
          <w:w w:val="100"/>
          <w:kern w:val="0"/>
          <w:szCs w:val="17"/>
        </w:rPr>
        <w:t>также</w:t>
      </w:r>
      <w:r w:rsidRPr="00776BCA">
        <w:rPr>
          <w:spacing w:val="0"/>
          <w:w w:val="100"/>
          <w:kern w:val="0"/>
          <w:szCs w:val="17"/>
          <w:lang w:val="en-US"/>
        </w:rPr>
        <w:t> </w:t>
      </w:r>
      <w:hyperlink r:id="rId3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A/71/554</w:t>
        </w:r>
      </w:hyperlink>
      <w:r w:rsidRPr="00776BCA">
        <w:rPr>
          <w:spacing w:val="0"/>
          <w:w w:val="100"/>
          <w:kern w:val="0"/>
          <w:szCs w:val="17"/>
          <w:lang w:val="en-US"/>
        </w:rPr>
        <w:t>.</w:t>
      </w:r>
    </w:p>
  </w:footnote>
  <w:footnote w:id="7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lang w:val="en-GB"/>
        </w:rPr>
        <w:t> </w:t>
      </w:r>
      <w:hyperlink r:id="rId4" w:history="1">
        <w:proofErr w:type="gramStart"/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A/HRC/22/63</w:t>
        </w:r>
      </w:hyperlink>
      <w:r w:rsidRPr="00776BCA">
        <w:rPr>
          <w:spacing w:val="0"/>
          <w:w w:val="100"/>
          <w:kern w:val="0"/>
          <w:szCs w:val="17"/>
          <w:lang w:val="en-US"/>
        </w:rPr>
        <w:t>.</w:t>
      </w:r>
      <w:proofErr w:type="gramEnd"/>
    </w:p>
  </w:footnote>
  <w:footnote w:id="8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lang w:val="en-GB"/>
        </w:rPr>
        <w:t> </w:t>
      </w:r>
      <w:hyperlink r:id="rId5" w:history="1">
        <w:proofErr w:type="gramStart"/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A/69/711-S/2015/1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r w:rsidRPr="00776BCA">
        <w:rPr>
          <w:spacing w:val="0"/>
          <w:w w:val="100"/>
          <w:kern w:val="0"/>
          <w:szCs w:val="17"/>
        </w:rPr>
        <w:t>приложение</w:t>
      </w:r>
      <w:r w:rsidRPr="00776BCA">
        <w:rPr>
          <w:spacing w:val="0"/>
          <w:w w:val="100"/>
          <w:kern w:val="0"/>
          <w:szCs w:val="17"/>
          <w:lang w:val="en-US"/>
        </w:rPr>
        <w:t>.</w:t>
      </w:r>
      <w:proofErr w:type="gramEnd"/>
    </w:p>
  </w:footnote>
  <w:footnote w:id="9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</w:rPr>
        <w:t> </w:t>
      </w:r>
      <w:hyperlink r:id="rId6" w:history="1">
        <w:r w:rsidRPr="00776BCA">
          <w:rPr>
            <w:color w:val="0000FF"/>
            <w:spacing w:val="0"/>
            <w:w w:val="100"/>
            <w:kern w:val="0"/>
            <w:szCs w:val="17"/>
          </w:rPr>
          <w:t>А/48/486-S/26560</w:t>
        </w:r>
      </w:hyperlink>
      <w:r w:rsidRPr="00776BCA">
        <w:rPr>
          <w:spacing w:val="0"/>
          <w:w w:val="100"/>
          <w:kern w:val="0"/>
          <w:szCs w:val="17"/>
        </w:rPr>
        <w:t>, приложение.</w:t>
      </w:r>
    </w:p>
  </w:footnote>
  <w:footnote w:id="10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</w:rPr>
        <w:t> </w:t>
      </w:r>
      <w:hyperlink r:id="rId7" w:history="1">
        <w:r w:rsidRPr="00776BCA">
          <w:rPr>
            <w:color w:val="0000FF"/>
            <w:spacing w:val="0"/>
            <w:w w:val="100"/>
            <w:kern w:val="0"/>
            <w:szCs w:val="17"/>
          </w:rPr>
          <w:t>S/2003/529</w:t>
        </w:r>
      </w:hyperlink>
      <w:r w:rsidRPr="00776BCA">
        <w:rPr>
          <w:spacing w:val="0"/>
          <w:w w:val="100"/>
          <w:kern w:val="0"/>
          <w:szCs w:val="17"/>
        </w:rPr>
        <w:t>, приложение.</w:t>
      </w:r>
    </w:p>
  </w:footnote>
  <w:footnote w:id="11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lang w:val="en-GB"/>
        </w:rPr>
        <w:t> </w:t>
      </w:r>
      <w:hyperlink r:id="rId8" w:history="1">
        <w:proofErr w:type="gramStart"/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S/2016/595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r w:rsidRPr="00776BCA">
        <w:rPr>
          <w:spacing w:val="0"/>
          <w:w w:val="100"/>
          <w:kern w:val="0"/>
          <w:szCs w:val="17"/>
        </w:rPr>
        <w:t>приложение</w:t>
      </w:r>
      <w:r w:rsidRPr="00776BCA">
        <w:rPr>
          <w:spacing w:val="0"/>
          <w:w w:val="100"/>
          <w:kern w:val="0"/>
          <w:szCs w:val="17"/>
          <w:lang w:val="en-US"/>
        </w:rPr>
        <w:t>.</w:t>
      </w:r>
      <w:proofErr w:type="gramEnd"/>
    </w:p>
  </w:footnote>
  <w:footnote w:id="12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  <w:lang w:val="en-US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 w:rsidRPr="0027139B">
        <w:rPr>
          <w:spacing w:val="0"/>
          <w:w w:val="100"/>
          <w:kern w:val="0"/>
          <w:lang w:val="en-GB"/>
        </w:rPr>
        <w:t> </w:t>
      </w:r>
      <w:hyperlink r:id="rId9" w:history="1">
        <w:proofErr w:type="gramStart"/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A/71/315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hyperlink r:id="rId10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A/71/321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hyperlink r:id="rId11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A/71/352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hyperlink r:id="rId12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A/71/355</w:t>
        </w:r>
      </w:hyperlink>
      <w:r w:rsidRPr="00776BCA">
        <w:rPr>
          <w:spacing w:val="0"/>
          <w:w w:val="100"/>
          <w:kern w:val="0"/>
          <w:szCs w:val="17"/>
          <w:lang w:val="en-US"/>
        </w:rPr>
        <w:t xml:space="preserve">, </w:t>
      </w:r>
      <w:hyperlink r:id="rId13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A/71/364</w:t>
        </w:r>
      </w:hyperlink>
      <w:r w:rsidRPr="00776BCA">
        <w:rPr>
          <w:rStyle w:val="Hyperlink"/>
          <w:spacing w:val="0"/>
          <w:w w:val="100"/>
          <w:kern w:val="0"/>
          <w:szCs w:val="17"/>
          <w:lang w:val="en-US"/>
        </w:rPr>
        <w:t xml:space="preserve"> </w:t>
      </w:r>
      <w:r w:rsidRPr="00776BCA">
        <w:rPr>
          <w:spacing w:val="0"/>
          <w:w w:val="100"/>
          <w:kern w:val="0"/>
          <w:szCs w:val="17"/>
        </w:rPr>
        <w:t>и</w:t>
      </w:r>
      <w:r w:rsidRPr="00776BCA">
        <w:rPr>
          <w:spacing w:val="0"/>
          <w:w w:val="100"/>
          <w:kern w:val="0"/>
          <w:szCs w:val="17"/>
          <w:lang w:val="en-US"/>
        </w:rPr>
        <w:t xml:space="preserve"> </w:t>
      </w:r>
      <w:hyperlink r:id="rId14" w:history="1">
        <w:r w:rsidRPr="00776BCA">
          <w:rPr>
            <w:rStyle w:val="Hyperlink"/>
            <w:spacing w:val="0"/>
            <w:w w:val="100"/>
            <w:kern w:val="0"/>
            <w:szCs w:val="17"/>
            <w:lang w:val="en-US"/>
          </w:rPr>
          <w:t>A/71/392</w:t>
        </w:r>
      </w:hyperlink>
      <w:r w:rsidRPr="00776BCA">
        <w:rPr>
          <w:spacing w:val="0"/>
          <w:w w:val="100"/>
          <w:kern w:val="0"/>
          <w:szCs w:val="17"/>
          <w:lang w:val="en-US"/>
        </w:rPr>
        <w:t>.</w:t>
      </w:r>
      <w:proofErr w:type="gramEnd"/>
    </w:p>
  </w:footnote>
  <w:footnote w:id="13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  <w:szCs w:val="17"/>
        </w:rPr>
        <w:t> </w:t>
      </w:r>
      <w:r w:rsidRPr="00776BCA">
        <w:rPr>
          <w:spacing w:val="0"/>
          <w:w w:val="100"/>
          <w:kern w:val="0"/>
          <w:szCs w:val="17"/>
        </w:rPr>
        <w:t>См. </w:t>
      </w:r>
      <w:r w:rsidRPr="00776BCA">
        <w:rPr>
          <w:i/>
          <w:spacing w:val="0"/>
          <w:w w:val="100"/>
          <w:kern w:val="0"/>
          <w:szCs w:val="17"/>
        </w:rPr>
        <w:t xml:space="preserve">Официальные отчеты Генеральной Ассамблеи, шестьдесят шестая сессия, Дополнение № 53 </w:t>
      </w:r>
      <w:r w:rsidRPr="00776BCA">
        <w:rPr>
          <w:spacing w:val="0"/>
          <w:w w:val="100"/>
          <w:kern w:val="0"/>
          <w:szCs w:val="17"/>
        </w:rPr>
        <w:t>(</w:t>
      </w:r>
      <w:hyperlink r:id="rId15" w:history="1">
        <w:r w:rsidRPr="00776BCA">
          <w:rPr>
            <w:spacing w:val="0"/>
            <w:w w:val="100"/>
            <w:kern w:val="0"/>
            <w:szCs w:val="17"/>
          </w:rPr>
          <w:t>А/66/53</w:t>
        </w:r>
      </w:hyperlink>
      <w:r w:rsidRPr="00776BCA">
        <w:rPr>
          <w:spacing w:val="0"/>
          <w:w w:val="100"/>
          <w:kern w:val="0"/>
          <w:szCs w:val="17"/>
        </w:rPr>
        <w:t>), глава</w:t>
      </w:r>
      <w:r w:rsidRPr="00776BCA">
        <w:rPr>
          <w:spacing w:val="0"/>
          <w:w w:val="100"/>
          <w:kern w:val="0"/>
          <w:szCs w:val="17"/>
          <w:lang w:val="en-US"/>
        </w:rPr>
        <w:t> </w:t>
      </w:r>
      <w:r w:rsidRPr="00776BCA">
        <w:rPr>
          <w:spacing w:val="0"/>
          <w:w w:val="100"/>
          <w:kern w:val="0"/>
          <w:szCs w:val="17"/>
        </w:rPr>
        <w:t>III, раздел</w:t>
      </w:r>
      <w:r w:rsidRPr="00776BCA">
        <w:rPr>
          <w:spacing w:val="0"/>
          <w:w w:val="100"/>
          <w:kern w:val="0"/>
          <w:szCs w:val="17"/>
          <w:lang w:val="en-US"/>
        </w:rPr>
        <w:t> </w:t>
      </w:r>
      <w:r w:rsidRPr="00776BCA">
        <w:rPr>
          <w:spacing w:val="0"/>
          <w:w w:val="100"/>
          <w:kern w:val="0"/>
          <w:szCs w:val="17"/>
        </w:rPr>
        <w:t>А.</w:t>
      </w:r>
    </w:p>
  </w:footnote>
  <w:footnote w:id="14">
    <w:p w:rsidR="00776BCA" w:rsidRPr="00776BCA" w:rsidRDefault="00776BCA" w:rsidP="00776BC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after="60" w:line="180" w:lineRule="exact"/>
        <w:ind w:left="1267" w:right="1267" w:firstLine="0"/>
        <w:jc w:val="both"/>
        <w:rPr>
          <w:spacing w:val="0"/>
          <w:w w:val="100"/>
          <w:kern w:val="0"/>
          <w:szCs w:val="17"/>
        </w:rPr>
      </w:pPr>
      <w:r w:rsidRPr="00776BCA">
        <w:rPr>
          <w:rStyle w:val="FootnoteReference"/>
          <w:spacing w:val="0"/>
          <w:w w:val="100"/>
          <w:kern w:val="0"/>
          <w:szCs w:val="17"/>
        </w:rPr>
        <w:footnoteRef/>
      </w:r>
      <w:r>
        <w:rPr>
          <w:spacing w:val="0"/>
          <w:w w:val="100"/>
          <w:kern w:val="0"/>
        </w:rPr>
        <w:t> </w:t>
      </w:r>
      <w:hyperlink r:id="rId16" w:history="1">
        <w:r w:rsidRPr="00776BCA">
          <w:rPr>
            <w:color w:val="0000FF"/>
            <w:spacing w:val="0"/>
            <w:w w:val="100"/>
            <w:kern w:val="0"/>
            <w:szCs w:val="17"/>
          </w:rPr>
          <w:t>А/HRC/17/31</w:t>
        </w:r>
      </w:hyperlink>
      <w:r w:rsidRPr="00776BCA">
        <w:rPr>
          <w:spacing w:val="0"/>
          <w:w w:val="100"/>
          <w:kern w:val="0"/>
          <w:szCs w:val="17"/>
        </w:rPr>
        <w:t>, приложение.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350"/>
      <w:gridCol w:w="5220"/>
      <w:gridCol w:w="3330"/>
    </w:tblGrid>
    <w:tr w:rsidR="005B7632">
      <w:trPr>
        <w:cantSplit/>
        <w:trHeight w:val="540"/>
      </w:trPr>
      <w:tc>
        <w:tcPr>
          <w:tcW w:w="1350" w:type="dxa"/>
          <w:tcBorders>
            <w:bottom w:val="single" w:sz="6" w:space="0" w:color="auto"/>
          </w:tcBorders>
        </w:tcPr>
        <w:p w:rsidR="005B7632" w:rsidRDefault="005B7632">
          <w:pPr>
            <w:spacing w:before="240"/>
            <w:rPr>
              <w:sz w:val="22"/>
              <w:lang w:val="ru-RU"/>
            </w:rPr>
          </w:pPr>
        </w:p>
      </w:tc>
      <w:tc>
        <w:tcPr>
          <w:tcW w:w="5220" w:type="dxa"/>
          <w:tcBorders>
            <w:bottom w:val="single" w:sz="6" w:space="0" w:color="auto"/>
          </w:tcBorders>
        </w:tcPr>
        <w:p w:rsidR="005B7632" w:rsidRDefault="005B7632">
          <w:pPr>
            <w:pStyle w:val="Heading2"/>
            <w:spacing w:before="240"/>
            <w:rPr>
              <w:sz w:val="28"/>
              <w:lang w:val="ru-RU"/>
            </w:rPr>
          </w:pPr>
          <w:r>
            <w:rPr>
              <w:sz w:val="28"/>
              <w:lang w:val="ru-RU"/>
            </w:rPr>
            <w:t>Организация Объединенных Наций</w:t>
          </w:r>
        </w:p>
      </w:tc>
      <w:tc>
        <w:tcPr>
          <w:tcW w:w="3330" w:type="dxa"/>
          <w:tcBorders>
            <w:bottom w:val="single" w:sz="6" w:space="0" w:color="auto"/>
          </w:tcBorders>
        </w:tcPr>
        <w:p w:rsidR="005B7632" w:rsidRPr="00357B6E" w:rsidRDefault="005B7632" w:rsidP="00BD7C92">
          <w:pPr>
            <w:spacing w:before="120"/>
            <w:jc w:val="right"/>
          </w:pPr>
          <w:r>
            <w:rPr>
              <w:bCs/>
              <w:sz w:val="40"/>
              <w:lang w:val="ru-RU"/>
            </w:rPr>
            <w:t>A</w:t>
          </w:r>
          <w:r>
            <w:rPr>
              <w:sz w:val="20"/>
              <w:szCs w:val="20"/>
              <w:lang w:val="ru-RU"/>
            </w:rPr>
            <w:t>/RES/</w:t>
          </w:r>
          <w:r w:rsidR="00BD7C92">
            <w:rPr>
              <w:sz w:val="20"/>
              <w:szCs w:val="20"/>
            </w:rPr>
            <w:t>71/97</w:t>
          </w:r>
        </w:p>
      </w:tc>
    </w:tr>
    <w:tr w:rsidR="005B7632">
      <w:trPr>
        <w:trHeight w:val="1988"/>
      </w:trPr>
      <w:tc>
        <w:tcPr>
          <w:tcW w:w="135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Default="00BD7C92">
          <w:pPr>
            <w:rPr>
              <w:lang w:val="ru-RU"/>
            </w:rPr>
          </w:pPr>
          <w:r>
            <w:rPr>
              <w:noProof/>
              <w:lang w:eastAsia="en-US"/>
            </w:rPr>
            <w:drawing>
              <wp:inline distT="0" distB="0" distL="0" distR="0" wp14:anchorId="4AA29D5A" wp14:editId="5B7B4FF3">
                <wp:extent cx="729615" cy="622300"/>
                <wp:effectExtent l="0" t="0" r="0" b="635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Default="005B7632">
          <w:pPr>
            <w:pStyle w:val="Heading3"/>
            <w:rPr>
              <w:b/>
              <w:lang w:val="ru-RU"/>
            </w:rPr>
          </w:pPr>
          <w:r>
            <w:rPr>
              <w:b/>
              <w:lang w:val="ru-RU"/>
            </w:rPr>
            <w:t>Генеральная Ассамблея</w:t>
          </w:r>
        </w:p>
      </w:tc>
      <w:tc>
        <w:tcPr>
          <w:tcW w:w="333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Pr="008A077A" w:rsidRDefault="005B7632">
          <w:pPr>
            <w:jc w:val="right"/>
            <w:rPr>
              <w:sz w:val="20"/>
              <w:szCs w:val="20"/>
              <w:lang w:val="ru-RU"/>
            </w:rPr>
          </w:pPr>
          <w:proofErr w:type="spellStart"/>
          <w:r w:rsidRPr="008A077A">
            <w:rPr>
              <w:sz w:val="20"/>
              <w:szCs w:val="20"/>
              <w:lang w:val="ru-RU"/>
            </w:rPr>
            <w:t>Distr</w:t>
          </w:r>
          <w:proofErr w:type="spellEnd"/>
          <w:r w:rsidRPr="008A077A">
            <w:rPr>
              <w:sz w:val="20"/>
              <w:szCs w:val="20"/>
              <w:lang w:val="ru-RU"/>
            </w:rPr>
            <w:t xml:space="preserve">.: </w:t>
          </w:r>
          <w:proofErr w:type="spellStart"/>
          <w:r w:rsidRPr="008A077A">
            <w:rPr>
              <w:sz w:val="20"/>
              <w:szCs w:val="20"/>
              <w:lang w:val="ru-RU"/>
            </w:rPr>
            <w:t>General</w:t>
          </w:r>
          <w:proofErr w:type="spellEnd"/>
        </w:p>
        <w:p w:rsidR="005B7632" w:rsidRPr="005E19CF" w:rsidRDefault="0027139B" w:rsidP="0029318F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23 December</w:t>
          </w:r>
          <w:r w:rsidR="00C32BDC">
            <w:rPr>
              <w:sz w:val="20"/>
              <w:szCs w:val="20"/>
              <w:lang w:val="ru-RU"/>
            </w:rPr>
            <w:t> </w:t>
          </w:r>
          <w:r w:rsidR="005B7632" w:rsidRPr="008A077A">
            <w:rPr>
              <w:sz w:val="20"/>
              <w:szCs w:val="20"/>
              <w:lang w:val="ru-RU"/>
            </w:rPr>
            <w:t>20</w:t>
          </w:r>
          <w:r w:rsidR="00BF3A83">
            <w:rPr>
              <w:sz w:val="20"/>
              <w:szCs w:val="20"/>
            </w:rPr>
            <w:t>1</w:t>
          </w:r>
          <w:r w:rsidR="0029318F">
            <w:rPr>
              <w:sz w:val="20"/>
              <w:szCs w:val="20"/>
            </w:rPr>
            <w:t>6</w:t>
          </w:r>
        </w:p>
      </w:tc>
    </w:tr>
    <w:tr w:rsidR="005B7632" w:rsidRPr="00690CC5">
      <w:trPr>
        <w:cantSplit/>
        <w:trHeight w:val="542"/>
      </w:trPr>
      <w:tc>
        <w:tcPr>
          <w:tcW w:w="9900" w:type="dxa"/>
          <w:gridSpan w:val="3"/>
          <w:tcBorders>
            <w:top w:val="single" w:sz="12" w:space="0" w:color="auto"/>
          </w:tcBorders>
          <w:vAlign w:val="bottom"/>
        </w:tcPr>
        <w:p w:rsidR="005B7632" w:rsidRPr="008A077A" w:rsidRDefault="00C0704D" w:rsidP="006B3887">
          <w:pPr>
            <w:pStyle w:val="Heading4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Сем</w:t>
          </w:r>
          <w:r w:rsidR="00254AF6">
            <w:rPr>
              <w:sz w:val="20"/>
              <w:lang w:val="ru-RU"/>
            </w:rPr>
            <w:t>ьдесят перв</w:t>
          </w:r>
          <w:r>
            <w:rPr>
              <w:sz w:val="20"/>
              <w:lang w:val="ru-RU"/>
            </w:rPr>
            <w:t>ая</w:t>
          </w:r>
          <w:r w:rsidR="005B7632">
            <w:rPr>
              <w:sz w:val="20"/>
              <w:lang w:val="ru-RU"/>
            </w:rPr>
            <w:t xml:space="preserve"> </w:t>
          </w:r>
          <w:r w:rsidR="005B7632" w:rsidRPr="008A077A">
            <w:rPr>
              <w:sz w:val="20"/>
              <w:lang w:val="ru-RU"/>
            </w:rPr>
            <w:t>сессия</w:t>
          </w:r>
        </w:p>
        <w:p w:rsidR="005B7632" w:rsidRPr="008A077A" w:rsidRDefault="005B7632">
          <w:pPr>
            <w:rPr>
              <w:sz w:val="20"/>
              <w:szCs w:val="20"/>
              <w:lang w:val="ru-RU"/>
            </w:rPr>
          </w:pPr>
          <w:r w:rsidRPr="008A077A">
            <w:rPr>
              <w:sz w:val="20"/>
              <w:szCs w:val="20"/>
              <w:lang w:val="ru-RU"/>
            </w:rPr>
            <w:t xml:space="preserve">Пункт </w:t>
          </w:r>
          <w:r w:rsidR="00BD7C92">
            <w:rPr>
              <w:sz w:val="20"/>
              <w:szCs w:val="20"/>
              <w:lang w:val="ru-RU"/>
            </w:rPr>
            <w:t>50</w:t>
          </w:r>
          <w:r w:rsidRPr="008A077A">
            <w:rPr>
              <w:sz w:val="20"/>
              <w:szCs w:val="20"/>
              <w:lang w:val="ru-RU"/>
            </w:rPr>
            <w:t xml:space="preserve"> повестки дня </w:t>
          </w:r>
        </w:p>
      </w:tc>
    </w:tr>
  </w:tbl>
  <w:p w:rsidR="005B7632" w:rsidRDefault="005B7632">
    <w:pPr>
      <w:pStyle w:val="Header"/>
      <w:rPr>
        <w:sz w:val="16"/>
        <w:vertAlign w:val="superscript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30"/>
    </w:tblGrid>
    <w:tr w:rsidR="003A5C7B" w:rsidRPr="00EF4497" w:rsidTr="00F55F81">
      <w:trPr>
        <w:trHeight w:val="720"/>
      </w:trPr>
      <w:tc>
        <w:tcPr>
          <w:tcW w:w="2520" w:type="dxa"/>
          <w:shd w:val="clear" w:color="auto" w:fill="auto"/>
          <w:vAlign w:val="bottom"/>
        </w:tcPr>
        <w:p w:rsidR="003A5C7B" w:rsidRPr="00F55F81" w:rsidRDefault="00BD7C92" w:rsidP="00F55F81">
          <w:pPr>
            <w:pStyle w:val="Header"/>
            <w:spacing w:after="40"/>
            <w:rPr>
              <w:b/>
              <w:sz w:val="18"/>
            </w:rPr>
          </w:pPr>
          <w:r>
            <w:rPr>
              <w:b/>
              <w:sz w:val="18"/>
            </w:rPr>
            <w:t>A/RES/71/97</w:t>
          </w:r>
        </w:p>
      </w:tc>
      <w:tc>
        <w:tcPr>
          <w:tcW w:w="7330" w:type="dxa"/>
          <w:shd w:val="clear" w:color="auto" w:fill="auto"/>
          <w:vAlign w:val="bottom"/>
        </w:tcPr>
        <w:p w:rsidR="003A5C7B" w:rsidRPr="0027139B" w:rsidRDefault="00776BCA" w:rsidP="00F55F81">
          <w:pPr>
            <w:pStyle w:val="Header"/>
            <w:spacing w:after="40"/>
            <w:jc w:val="right"/>
            <w:rPr>
              <w:b/>
              <w:sz w:val="18"/>
              <w:lang w:val="ru-RU"/>
            </w:rPr>
          </w:pPr>
          <w:r w:rsidRPr="00776BCA">
            <w:rPr>
              <w:b/>
              <w:sz w:val="18"/>
              <w:lang w:val="ru-RU"/>
            </w:rPr>
            <w:t>Израильские поселения на оккупированной палестинской территории, включая Восточный Иерусалим, и </w:t>
          </w:r>
          <w:proofErr w:type="gramStart"/>
          <w:r w:rsidRPr="00776BCA">
            <w:rPr>
              <w:b/>
              <w:sz w:val="18"/>
              <w:lang w:val="ru-RU"/>
            </w:rPr>
            <w:t>оккупированных</w:t>
          </w:r>
          <w:proofErr w:type="gramEnd"/>
          <w:r w:rsidRPr="00776BCA">
            <w:rPr>
              <w:b/>
              <w:sz w:val="18"/>
              <w:lang w:val="ru-RU"/>
            </w:rPr>
            <w:t xml:space="preserve"> сирийских </w:t>
          </w:r>
          <w:proofErr w:type="spellStart"/>
          <w:r w:rsidRPr="00776BCA">
            <w:rPr>
              <w:b/>
              <w:sz w:val="18"/>
              <w:lang w:val="ru-RU"/>
            </w:rPr>
            <w:t>Голанах</w:t>
          </w:r>
          <w:proofErr w:type="spellEnd"/>
        </w:p>
      </w:tc>
    </w:tr>
  </w:tbl>
  <w:p w:rsidR="005B7632" w:rsidRPr="0027139B" w:rsidRDefault="005B7632" w:rsidP="003A5C7B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2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0"/>
      <w:gridCol w:w="2552"/>
    </w:tblGrid>
    <w:tr w:rsidR="003A5C7B" w:rsidRPr="00F55F81" w:rsidTr="00F55F81">
      <w:trPr>
        <w:trHeight w:val="720"/>
      </w:trPr>
      <w:tc>
        <w:tcPr>
          <w:tcW w:w="7330" w:type="dxa"/>
          <w:shd w:val="clear" w:color="auto" w:fill="auto"/>
          <w:vAlign w:val="bottom"/>
        </w:tcPr>
        <w:p w:rsidR="003A5C7B" w:rsidRPr="0027139B" w:rsidRDefault="00776BCA" w:rsidP="00F55F81">
          <w:pPr>
            <w:pStyle w:val="Header"/>
            <w:spacing w:after="40"/>
            <w:rPr>
              <w:b/>
              <w:sz w:val="18"/>
              <w:lang w:val="ru-RU"/>
            </w:rPr>
          </w:pPr>
          <w:r w:rsidRPr="00776BCA">
            <w:rPr>
              <w:b/>
              <w:sz w:val="18"/>
              <w:lang w:val="ru-RU"/>
            </w:rPr>
            <w:t>Израильские поселения на оккупированной палестинской территории, включая Восточный Иерусалим, и </w:t>
          </w:r>
          <w:proofErr w:type="gramStart"/>
          <w:r w:rsidRPr="00776BCA">
            <w:rPr>
              <w:b/>
              <w:sz w:val="18"/>
              <w:lang w:val="ru-RU"/>
            </w:rPr>
            <w:t>оккупированных</w:t>
          </w:r>
          <w:proofErr w:type="gramEnd"/>
          <w:r w:rsidRPr="00776BCA">
            <w:rPr>
              <w:b/>
              <w:sz w:val="18"/>
              <w:lang w:val="ru-RU"/>
            </w:rPr>
            <w:t xml:space="preserve"> сирийских </w:t>
          </w:r>
          <w:proofErr w:type="spellStart"/>
          <w:r w:rsidRPr="00776BCA">
            <w:rPr>
              <w:b/>
              <w:sz w:val="18"/>
              <w:lang w:val="ru-RU"/>
            </w:rPr>
            <w:t>Голанах</w:t>
          </w:r>
          <w:proofErr w:type="spellEnd"/>
        </w:p>
      </w:tc>
      <w:tc>
        <w:tcPr>
          <w:tcW w:w="2552" w:type="dxa"/>
          <w:shd w:val="clear" w:color="auto" w:fill="auto"/>
          <w:vAlign w:val="bottom"/>
        </w:tcPr>
        <w:p w:rsidR="003A5C7B" w:rsidRPr="00F55F81" w:rsidRDefault="00BD7C92" w:rsidP="00F55F81">
          <w:pPr>
            <w:pStyle w:val="Header"/>
            <w:spacing w:after="40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A/RES/71/97</w:t>
          </w:r>
        </w:p>
      </w:tc>
    </w:tr>
  </w:tbl>
  <w:p w:rsidR="005B7632" w:rsidRPr="003A5C7B" w:rsidRDefault="005B7632" w:rsidP="003A5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1256*"/>
    <w:docVar w:name="jobn" w:val="16-21256 (R)"/>
    <w:docVar w:name="JobNo" w:val="1621256R"/>
    <w:docVar w:name="ODSRefJobNo" w:val="1642835R"/>
    <w:docVar w:name="sss1" w:val="A/RES/71/97"/>
    <w:docVar w:name="sss2" w:val="-"/>
  </w:docVars>
  <w:rsids>
    <w:rsidRoot w:val="00BD7C92"/>
    <w:rsid w:val="00013F69"/>
    <w:rsid w:val="000401A7"/>
    <w:rsid w:val="000427CA"/>
    <w:rsid w:val="00042CCF"/>
    <w:rsid w:val="00047AAB"/>
    <w:rsid w:val="000839E9"/>
    <w:rsid w:val="00087CCB"/>
    <w:rsid w:val="000910FC"/>
    <w:rsid w:val="000C50A9"/>
    <w:rsid w:val="000E1ACA"/>
    <w:rsid w:val="000E7201"/>
    <w:rsid w:val="000F7C38"/>
    <w:rsid w:val="00102997"/>
    <w:rsid w:val="00110413"/>
    <w:rsid w:val="00115912"/>
    <w:rsid w:val="0012471D"/>
    <w:rsid w:val="00166F6C"/>
    <w:rsid w:val="00181EAE"/>
    <w:rsid w:val="00193FD5"/>
    <w:rsid w:val="001B344D"/>
    <w:rsid w:val="001C2BBE"/>
    <w:rsid w:val="001C2E93"/>
    <w:rsid w:val="001F5579"/>
    <w:rsid w:val="00210984"/>
    <w:rsid w:val="002121FE"/>
    <w:rsid w:val="00221C82"/>
    <w:rsid w:val="00251914"/>
    <w:rsid w:val="00254AF6"/>
    <w:rsid w:val="00262AD8"/>
    <w:rsid w:val="00264FB6"/>
    <w:rsid w:val="0027139B"/>
    <w:rsid w:val="002841F6"/>
    <w:rsid w:val="0029318F"/>
    <w:rsid w:val="002A6AC7"/>
    <w:rsid w:val="002A7DB7"/>
    <w:rsid w:val="002B6534"/>
    <w:rsid w:val="002E493A"/>
    <w:rsid w:val="003040CA"/>
    <w:rsid w:val="003069C7"/>
    <w:rsid w:val="0031045A"/>
    <w:rsid w:val="00310B66"/>
    <w:rsid w:val="00331C96"/>
    <w:rsid w:val="0033743D"/>
    <w:rsid w:val="00344983"/>
    <w:rsid w:val="00357B6E"/>
    <w:rsid w:val="00362A89"/>
    <w:rsid w:val="003671D0"/>
    <w:rsid w:val="0037631F"/>
    <w:rsid w:val="00382A27"/>
    <w:rsid w:val="003A5C7B"/>
    <w:rsid w:val="003B4FE0"/>
    <w:rsid w:val="003C4375"/>
    <w:rsid w:val="00402152"/>
    <w:rsid w:val="00410DBD"/>
    <w:rsid w:val="00450A08"/>
    <w:rsid w:val="00472433"/>
    <w:rsid w:val="004C4B19"/>
    <w:rsid w:val="004E5783"/>
    <w:rsid w:val="00516512"/>
    <w:rsid w:val="005641B9"/>
    <w:rsid w:val="005753C8"/>
    <w:rsid w:val="00591808"/>
    <w:rsid w:val="00591C3D"/>
    <w:rsid w:val="0059413F"/>
    <w:rsid w:val="00596843"/>
    <w:rsid w:val="005B5CAF"/>
    <w:rsid w:val="005B7632"/>
    <w:rsid w:val="005C6F05"/>
    <w:rsid w:val="005D73C1"/>
    <w:rsid w:val="005E0B53"/>
    <w:rsid w:val="005E19CF"/>
    <w:rsid w:val="005E4D0C"/>
    <w:rsid w:val="005F0C9F"/>
    <w:rsid w:val="005F2998"/>
    <w:rsid w:val="00640277"/>
    <w:rsid w:val="00647315"/>
    <w:rsid w:val="00660783"/>
    <w:rsid w:val="0067637A"/>
    <w:rsid w:val="00684B7A"/>
    <w:rsid w:val="00690CC5"/>
    <w:rsid w:val="006B1703"/>
    <w:rsid w:val="006B3887"/>
    <w:rsid w:val="006C35FB"/>
    <w:rsid w:val="006C3738"/>
    <w:rsid w:val="006D1FC7"/>
    <w:rsid w:val="006E6ECE"/>
    <w:rsid w:val="00710F61"/>
    <w:rsid w:val="007346D4"/>
    <w:rsid w:val="00762410"/>
    <w:rsid w:val="00775472"/>
    <w:rsid w:val="00776BCA"/>
    <w:rsid w:val="00777552"/>
    <w:rsid w:val="00785894"/>
    <w:rsid w:val="00793340"/>
    <w:rsid w:val="00797A8A"/>
    <w:rsid w:val="007B0625"/>
    <w:rsid w:val="007B699F"/>
    <w:rsid w:val="007E7D35"/>
    <w:rsid w:val="007F5747"/>
    <w:rsid w:val="00807E13"/>
    <w:rsid w:val="00815CE6"/>
    <w:rsid w:val="008452A1"/>
    <w:rsid w:val="00847DA7"/>
    <w:rsid w:val="008534E9"/>
    <w:rsid w:val="00867C88"/>
    <w:rsid w:val="008939A0"/>
    <w:rsid w:val="008A077A"/>
    <w:rsid w:val="008B3627"/>
    <w:rsid w:val="008D09C8"/>
    <w:rsid w:val="008E4FB7"/>
    <w:rsid w:val="008F1884"/>
    <w:rsid w:val="008F5F3B"/>
    <w:rsid w:val="00907572"/>
    <w:rsid w:val="0092780A"/>
    <w:rsid w:val="00930A37"/>
    <w:rsid w:val="00947A44"/>
    <w:rsid w:val="00953FD1"/>
    <w:rsid w:val="009859DA"/>
    <w:rsid w:val="00994133"/>
    <w:rsid w:val="009A7402"/>
    <w:rsid w:val="009B5387"/>
    <w:rsid w:val="009C397E"/>
    <w:rsid w:val="009E30D5"/>
    <w:rsid w:val="00A05D63"/>
    <w:rsid w:val="00A16036"/>
    <w:rsid w:val="00A170A9"/>
    <w:rsid w:val="00A35472"/>
    <w:rsid w:val="00A402CB"/>
    <w:rsid w:val="00A469D9"/>
    <w:rsid w:val="00A61181"/>
    <w:rsid w:val="00AA56FA"/>
    <w:rsid w:val="00AF1E78"/>
    <w:rsid w:val="00AF28EF"/>
    <w:rsid w:val="00B50416"/>
    <w:rsid w:val="00B57761"/>
    <w:rsid w:val="00B62894"/>
    <w:rsid w:val="00B70BF9"/>
    <w:rsid w:val="00B834A9"/>
    <w:rsid w:val="00BB386F"/>
    <w:rsid w:val="00BB46DC"/>
    <w:rsid w:val="00BC74DA"/>
    <w:rsid w:val="00BD7C92"/>
    <w:rsid w:val="00BF3A83"/>
    <w:rsid w:val="00C0278E"/>
    <w:rsid w:val="00C04230"/>
    <w:rsid w:val="00C0704D"/>
    <w:rsid w:val="00C14112"/>
    <w:rsid w:val="00C16AF7"/>
    <w:rsid w:val="00C25B7A"/>
    <w:rsid w:val="00C3135F"/>
    <w:rsid w:val="00C32BDC"/>
    <w:rsid w:val="00C53058"/>
    <w:rsid w:val="00C94E64"/>
    <w:rsid w:val="00CA4D36"/>
    <w:rsid w:val="00CE5E7E"/>
    <w:rsid w:val="00CF30F7"/>
    <w:rsid w:val="00CF33B1"/>
    <w:rsid w:val="00D0399B"/>
    <w:rsid w:val="00D26C01"/>
    <w:rsid w:val="00D47704"/>
    <w:rsid w:val="00D51530"/>
    <w:rsid w:val="00D55AB9"/>
    <w:rsid w:val="00D702B4"/>
    <w:rsid w:val="00D727C8"/>
    <w:rsid w:val="00D75B05"/>
    <w:rsid w:val="00DE68D0"/>
    <w:rsid w:val="00E028DA"/>
    <w:rsid w:val="00E312A5"/>
    <w:rsid w:val="00E33D95"/>
    <w:rsid w:val="00E37E00"/>
    <w:rsid w:val="00E72D64"/>
    <w:rsid w:val="00E776F6"/>
    <w:rsid w:val="00E87828"/>
    <w:rsid w:val="00EB09CF"/>
    <w:rsid w:val="00EB1FBA"/>
    <w:rsid w:val="00EF436A"/>
    <w:rsid w:val="00EF4497"/>
    <w:rsid w:val="00F24A1C"/>
    <w:rsid w:val="00F55F81"/>
    <w:rsid w:val="00F76192"/>
    <w:rsid w:val="00F92F24"/>
    <w:rsid w:val="00FB0874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B09CF"/>
    <w:pPr>
      <w:keepNext/>
      <w:jc w:val="both"/>
      <w:outlineLvl w:val="0"/>
    </w:pPr>
    <w:rPr>
      <w:rFonts w:eastAsia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EB09CF"/>
    <w:pPr>
      <w:keepNext/>
      <w:outlineLvl w:val="1"/>
    </w:pPr>
    <w:rPr>
      <w:rFonts w:eastAsia="Times New Roman"/>
      <w:szCs w:val="20"/>
      <w:lang w:val="fr-FR" w:eastAsia="en-US"/>
    </w:rPr>
  </w:style>
  <w:style w:type="paragraph" w:styleId="Heading3">
    <w:name w:val="heading 3"/>
    <w:basedOn w:val="Normal"/>
    <w:next w:val="Normal"/>
    <w:qFormat/>
    <w:rsid w:val="00EB09CF"/>
    <w:pPr>
      <w:keepNext/>
      <w:outlineLvl w:val="2"/>
    </w:pPr>
    <w:rPr>
      <w:rFonts w:eastAsia="Times New Roman"/>
      <w:sz w:val="40"/>
      <w:szCs w:val="20"/>
      <w:lang w:val="fr-FR" w:eastAsia="en-US"/>
    </w:rPr>
  </w:style>
  <w:style w:type="paragraph" w:styleId="Heading4">
    <w:name w:val="heading 4"/>
    <w:basedOn w:val="Normal"/>
    <w:next w:val="Normal"/>
    <w:qFormat/>
    <w:rsid w:val="00EB09CF"/>
    <w:pPr>
      <w:keepNext/>
      <w:outlineLvl w:val="3"/>
    </w:pPr>
    <w:rPr>
      <w:rFonts w:eastAsia="Times New Roman"/>
      <w:b/>
      <w:sz w:val="2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EB09CF"/>
    <w:rPr>
      <w:sz w:val="16"/>
    </w:rPr>
  </w:style>
  <w:style w:type="paragraph" w:styleId="CommentText">
    <w:name w:val="annotation text"/>
    <w:basedOn w:val="Normal"/>
    <w:link w:val="CommentTextChar"/>
    <w:semiHidden/>
    <w:rsid w:val="00EB09CF"/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EB09CF"/>
  </w:style>
  <w:style w:type="paragraph" w:customStyle="1" w:styleId="SingleTxt">
    <w:name w:val="__Single Txt"/>
    <w:basedOn w:val="Normal"/>
    <w:qFormat/>
    <w:rsid w:val="00EB09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fr-CA" w:eastAsia="en-US"/>
    </w:rPr>
  </w:style>
  <w:style w:type="paragraph" w:styleId="BalloonText">
    <w:name w:val="Balloon Text"/>
    <w:basedOn w:val="Normal"/>
    <w:semiHidden/>
    <w:rsid w:val="00EB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93A"/>
    <w:rPr>
      <w:sz w:val="24"/>
      <w:szCs w:val="24"/>
      <w:lang w:eastAsia="zh-CN"/>
    </w:rPr>
  </w:style>
  <w:style w:type="paragraph" w:customStyle="1" w:styleId="H23">
    <w:name w:val="_ H_2/3"/>
    <w:basedOn w:val="Normal"/>
    <w:next w:val="SingleTxt"/>
    <w:qFormat/>
    <w:rsid w:val="00776BCA"/>
    <w:pPr>
      <w:keepNext/>
      <w:keepLines/>
      <w:suppressAutoHyphens/>
      <w:spacing w:line="240" w:lineRule="exact"/>
      <w:outlineLvl w:val="1"/>
    </w:pPr>
    <w:rPr>
      <w:rFonts w:eastAsiaTheme="minorHAnsi"/>
      <w:b/>
      <w:spacing w:val="2"/>
      <w:w w:val="103"/>
      <w:kern w:val="14"/>
      <w:sz w:val="20"/>
      <w:szCs w:val="22"/>
      <w:lang w:val="ru-RU" w:eastAsia="en-US"/>
    </w:rPr>
  </w:style>
  <w:style w:type="character" w:styleId="FootnoteReference">
    <w:name w:val="footnote reference"/>
    <w:basedOn w:val="DefaultParagraphFont"/>
    <w:uiPriority w:val="1"/>
    <w:rsid w:val="00776BC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776BCA"/>
    <w:pPr>
      <w:suppressAutoHyphens/>
      <w:spacing w:line="210" w:lineRule="exact"/>
      <w:ind w:left="475" w:hanging="475"/>
    </w:pPr>
    <w:rPr>
      <w:rFonts w:eastAsiaTheme="minorHAnsi"/>
      <w:spacing w:val="5"/>
      <w:w w:val="104"/>
      <w:kern w:val="14"/>
      <w:sz w:val="17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776BCA"/>
    <w:rPr>
      <w:rFonts w:eastAsiaTheme="minorHAnsi"/>
      <w:spacing w:val="5"/>
      <w:w w:val="104"/>
      <w:kern w:val="14"/>
      <w:sz w:val="17"/>
      <w:lang w:val="ru-RU"/>
    </w:rPr>
  </w:style>
  <w:style w:type="character" w:styleId="Hyperlink">
    <w:name w:val="Hyperlink"/>
    <w:basedOn w:val="DefaultParagraphFont"/>
    <w:rsid w:val="00776BCA"/>
    <w:rPr>
      <w:color w:val="0000FF"/>
      <w:u w:val="none"/>
    </w:rPr>
  </w:style>
  <w:style w:type="paragraph" w:customStyle="1" w:styleId="H1">
    <w:name w:val="_ H_1"/>
    <w:basedOn w:val="Normal"/>
    <w:next w:val="SingleTxt"/>
    <w:qFormat/>
    <w:rsid w:val="00776BCA"/>
    <w:pPr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ru-RU" w:eastAsia="en-US"/>
    </w:rPr>
  </w:style>
  <w:style w:type="character" w:styleId="FollowedHyperlink">
    <w:name w:val="FollowedHyperlink"/>
    <w:basedOn w:val="DefaultParagraphFont"/>
    <w:rsid w:val="00EF4497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690CC5"/>
    <w:rPr>
      <w:rFonts w:eastAsia="SimSun"/>
      <w:b/>
      <w:bCs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90CC5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690CC5"/>
    <w:rPr>
      <w:rFonts w:eastAsia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B09CF"/>
    <w:pPr>
      <w:keepNext/>
      <w:jc w:val="both"/>
      <w:outlineLvl w:val="0"/>
    </w:pPr>
    <w:rPr>
      <w:rFonts w:eastAsia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EB09CF"/>
    <w:pPr>
      <w:keepNext/>
      <w:outlineLvl w:val="1"/>
    </w:pPr>
    <w:rPr>
      <w:rFonts w:eastAsia="Times New Roman"/>
      <w:szCs w:val="20"/>
      <w:lang w:val="fr-FR" w:eastAsia="en-US"/>
    </w:rPr>
  </w:style>
  <w:style w:type="paragraph" w:styleId="Heading3">
    <w:name w:val="heading 3"/>
    <w:basedOn w:val="Normal"/>
    <w:next w:val="Normal"/>
    <w:qFormat/>
    <w:rsid w:val="00EB09CF"/>
    <w:pPr>
      <w:keepNext/>
      <w:outlineLvl w:val="2"/>
    </w:pPr>
    <w:rPr>
      <w:rFonts w:eastAsia="Times New Roman"/>
      <w:sz w:val="40"/>
      <w:szCs w:val="20"/>
      <w:lang w:val="fr-FR" w:eastAsia="en-US"/>
    </w:rPr>
  </w:style>
  <w:style w:type="paragraph" w:styleId="Heading4">
    <w:name w:val="heading 4"/>
    <w:basedOn w:val="Normal"/>
    <w:next w:val="Normal"/>
    <w:qFormat/>
    <w:rsid w:val="00EB09CF"/>
    <w:pPr>
      <w:keepNext/>
      <w:outlineLvl w:val="3"/>
    </w:pPr>
    <w:rPr>
      <w:rFonts w:eastAsia="Times New Roman"/>
      <w:b/>
      <w:sz w:val="2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EB09CF"/>
    <w:rPr>
      <w:sz w:val="16"/>
    </w:rPr>
  </w:style>
  <w:style w:type="paragraph" w:styleId="CommentText">
    <w:name w:val="annotation text"/>
    <w:basedOn w:val="Normal"/>
    <w:link w:val="CommentTextChar"/>
    <w:semiHidden/>
    <w:rsid w:val="00EB09CF"/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EB09CF"/>
  </w:style>
  <w:style w:type="paragraph" w:customStyle="1" w:styleId="SingleTxt">
    <w:name w:val="__Single Txt"/>
    <w:basedOn w:val="Normal"/>
    <w:qFormat/>
    <w:rsid w:val="00EB09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fr-CA" w:eastAsia="en-US"/>
    </w:rPr>
  </w:style>
  <w:style w:type="paragraph" w:styleId="BalloonText">
    <w:name w:val="Balloon Text"/>
    <w:basedOn w:val="Normal"/>
    <w:semiHidden/>
    <w:rsid w:val="00EB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93A"/>
    <w:rPr>
      <w:sz w:val="24"/>
      <w:szCs w:val="24"/>
      <w:lang w:eastAsia="zh-CN"/>
    </w:rPr>
  </w:style>
  <w:style w:type="paragraph" w:customStyle="1" w:styleId="H23">
    <w:name w:val="_ H_2/3"/>
    <w:basedOn w:val="Normal"/>
    <w:next w:val="SingleTxt"/>
    <w:qFormat/>
    <w:rsid w:val="00776BCA"/>
    <w:pPr>
      <w:keepNext/>
      <w:keepLines/>
      <w:suppressAutoHyphens/>
      <w:spacing w:line="240" w:lineRule="exact"/>
      <w:outlineLvl w:val="1"/>
    </w:pPr>
    <w:rPr>
      <w:rFonts w:eastAsiaTheme="minorHAnsi"/>
      <w:b/>
      <w:spacing w:val="2"/>
      <w:w w:val="103"/>
      <w:kern w:val="14"/>
      <w:sz w:val="20"/>
      <w:szCs w:val="22"/>
      <w:lang w:val="ru-RU" w:eastAsia="en-US"/>
    </w:rPr>
  </w:style>
  <w:style w:type="character" w:styleId="FootnoteReference">
    <w:name w:val="footnote reference"/>
    <w:basedOn w:val="DefaultParagraphFont"/>
    <w:uiPriority w:val="1"/>
    <w:rsid w:val="00776BC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776BCA"/>
    <w:pPr>
      <w:suppressAutoHyphens/>
      <w:spacing w:line="210" w:lineRule="exact"/>
      <w:ind w:left="475" w:hanging="475"/>
    </w:pPr>
    <w:rPr>
      <w:rFonts w:eastAsiaTheme="minorHAnsi"/>
      <w:spacing w:val="5"/>
      <w:w w:val="104"/>
      <w:kern w:val="14"/>
      <w:sz w:val="17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776BCA"/>
    <w:rPr>
      <w:rFonts w:eastAsiaTheme="minorHAnsi"/>
      <w:spacing w:val="5"/>
      <w:w w:val="104"/>
      <w:kern w:val="14"/>
      <w:sz w:val="17"/>
      <w:lang w:val="ru-RU"/>
    </w:rPr>
  </w:style>
  <w:style w:type="character" w:styleId="Hyperlink">
    <w:name w:val="Hyperlink"/>
    <w:basedOn w:val="DefaultParagraphFont"/>
    <w:rsid w:val="00776BCA"/>
    <w:rPr>
      <w:color w:val="0000FF"/>
      <w:u w:val="none"/>
    </w:rPr>
  </w:style>
  <w:style w:type="paragraph" w:customStyle="1" w:styleId="H1">
    <w:name w:val="_ H_1"/>
    <w:basedOn w:val="Normal"/>
    <w:next w:val="SingleTxt"/>
    <w:qFormat/>
    <w:rsid w:val="00776BCA"/>
    <w:pPr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ru-RU" w:eastAsia="en-US"/>
    </w:rPr>
  </w:style>
  <w:style w:type="character" w:styleId="FollowedHyperlink">
    <w:name w:val="FollowedHyperlink"/>
    <w:basedOn w:val="DefaultParagraphFont"/>
    <w:rsid w:val="00EF4497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690CC5"/>
    <w:rPr>
      <w:rFonts w:eastAsia="SimSun"/>
      <w:b/>
      <w:bCs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90CC5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690CC5"/>
    <w:rPr>
      <w:rFonts w:eastAsia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undocs.org/ru/A/71/494" TargetMode="External"/><Relationship Id="rId18" Type="http://schemas.openxmlformats.org/officeDocument/2006/relationships/hyperlink" Target="http://undocs.org/ru/S/RES/465&#160;(1980)" TargetMode="External"/><Relationship Id="rId26" Type="http://schemas.openxmlformats.org/officeDocument/2006/relationships/hyperlink" Target="http://undocs.org/ru/S/RES/1515(2003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ndocs.org/ru/S/RES/497&#160;(1981)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undocs.org/ru/S/RES/446&#160;(1979)" TargetMode="External"/><Relationship Id="rId25" Type="http://schemas.openxmlformats.org/officeDocument/2006/relationships/hyperlink" Target="http://undocs.org/ru/A/RES/67/1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docs.org/ru/S/RES/242&#160;(1967)" TargetMode="External"/><Relationship Id="rId20" Type="http://schemas.openxmlformats.org/officeDocument/2006/relationships/hyperlink" Target="http://undocs.org/ru/S/RES/478&#160;(1980)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undocs.org/ru/A/RES/10/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ru/A/RES/70/89" TargetMode="External"/><Relationship Id="rId23" Type="http://schemas.openxmlformats.org/officeDocument/2006/relationships/hyperlink" Target="http://undocs.org/ru/A/RES/10/15" TargetMode="External"/><Relationship Id="rId28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://undocs.org/ru/S/RES/476&#160;(1980)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A/RES/71/97" TargetMode="External"/><Relationship Id="rId22" Type="http://schemas.openxmlformats.org/officeDocument/2006/relationships/hyperlink" Target="http://undocs.org/ru/S/RES/904&#160;(1994)" TargetMode="External"/><Relationship Id="rId27" Type="http://schemas.openxmlformats.org/officeDocument/2006/relationships/hyperlink" Target="http://undocs.org/ru/A/RES/17/4" TargetMode="External"/><Relationship Id="rId30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S/2016/595" TargetMode="External"/><Relationship Id="rId13" Type="http://schemas.openxmlformats.org/officeDocument/2006/relationships/hyperlink" Target="http://undocs.org/A/71/364" TargetMode="External"/><Relationship Id="rId3" Type="http://schemas.openxmlformats.org/officeDocument/2006/relationships/hyperlink" Target="http://undocs.org/A/71/554" TargetMode="External"/><Relationship Id="rId7" Type="http://schemas.openxmlformats.org/officeDocument/2006/relationships/hyperlink" Target="http://undocs.org/ru/S/2003/529" TargetMode="External"/><Relationship Id="rId12" Type="http://schemas.openxmlformats.org/officeDocument/2006/relationships/hyperlink" Target="http://undocs.org/A/71/355" TargetMode="External"/><Relationship Id="rId2" Type="http://schemas.openxmlformats.org/officeDocument/2006/relationships/hyperlink" Target="http://undocs.org/ru/A/HRC/25/67;" TargetMode="External"/><Relationship Id="rId16" Type="http://schemas.openxmlformats.org/officeDocument/2006/relationships/hyperlink" Target="http://undocs.org/ru/&#1040;/HRC/17/31" TargetMode="External"/><Relationship Id="rId1" Type="http://schemas.openxmlformats.org/officeDocument/2006/relationships/hyperlink" Target="http://undocs.org/ru/A/RES/10/273" TargetMode="External"/><Relationship Id="rId6" Type="http://schemas.openxmlformats.org/officeDocument/2006/relationships/hyperlink" Target="http://undocs.org/ru/&#1040;/48/486" TargetMode="External"/><Relationship Id="rId11" Type="http://schemas.openxmlformats.org/officeDocument/2006/relationships/hyperlink" Target="http://undocs.org/A/71/352" TargetMode="External"/><Relationship Id="rId5" Type="http://schemas.openxmlformats.org/officeDocument/2006/relationships/hyperlink" Target="http://undocs.org/ru/A/69/711" TargetMode="External"/><Relationship Id="rId15" Type="http://schemas.openxmlformats.org/officeDocument/2006/relationships/hyperlink" Target="http://undocs.org/ru/&#1040;/66/53" TargetMode="External"/><Relationship Id="rId10" Type="http://schemas.openxmlformats.org/officeDocument/2006/relationships/hyperlink" Target="http://undocs.org/A/71/321" TargetMode="External"/><Relationship Id="rId4" Type="http://schemas.openxmlformats.org/officeDocument/2006/relationships/hyperlink" Target="http://undocs.org/A/HRC/22/63" TargetMode="External"/><Relationship Id="rId9" Type="http://schemas.openxmlformats.org/officeDocument/2006/relationships/hyperlink" Target="http://undocs.org/A/71/315" TargetMode="External"/><Relationship Id="rId14" Type="http://schemas.openxmlformats.org/officeDocument/2006/relationships/hyperlink" Target="http://undocs.org/A/71/3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2010\DocTemplates\Russian_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DB89-8DD6-49DD-893A-4AEE13D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Russian_RES.dot</Template>
  <TotalTime>1</TotalTime>
  <Pages>6</Pages>
  <Words>1736</Words>
  <Characters>13582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Griaznova</dc:creator>
  <cp:lastModifiedBy>Test</cp:lastModifiedBy>
  <cp:revision>3</cp:revision>
  <cp:lastPrinted>2016-12-27T20:35:00Z</cp:lastPrinted>
  <dcterms:created xsi:type="dcterms:W3CDTF">2016-12-27T20:35:00Z</dcterms:created>
  <dcterms:modified xsi:type="dcterms:W3CDTF">2016-12-27T20:35:00Z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1621256R</vt:lpwstr>
  </property>
  <property fmtid="{D5CDD505-2E9C-101B-9397-08002B2CF9AE}" pid="3" name="ODSRefJobNo">
    <vt:lpwstr>1642835R</vt:lpwstr>
  </property>
  <property fmtid="{D5CDD505-2E9C-101B-9397-08002B2CF9AE}" pid="4" name="Symbol1">
    <vt:lpwstr>A/RES/71/97</vt:lpwstr>
  </property>
  <property fmtid="{D5CDD505-2E9C-101B-9397-08002B2CF9AE}" pid="5" name="Symbol2">
    <vt:lpwstr/>
  </property>
</Properties>
</file>